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659F995D" w14:textId="3D8BC0A1" w:rsidR="00073ADE" w:rsidRDefault="00F01E84" w:rsidP="00073ADE">
            <w:pPr>
              <w:jc w:val="left"/>
            </w:pPr>
            <w:r w:rsidRPr="007C2C3E">
              <w:rPr>
                <w:b/>
              </w:rPr>
              <w:t>Objeto</w:t>
            </w:r>
            <w:r w:rsidR="00073ADE">
              <w:t>:</w:t>
            </w:r>
          </w:p>
          <w:p w14:paraId="1C62E4AA" w14:textId="024C29AB" w:rsidR="00F01E84" w:rsidRDefault="00743EE2" w:rsidP="00073ADE">
            <w:pPr>
              <w:jc w:val="left"/>
              <w:rPr>
                <w:b/>
              </w:rPr>
            </w:pPr>
            <w:sdt>
              <w:sdtPr>
                <w:alias w:val="objeto"/>
                <w:tag w:val="objeto"/>
                <w:id w:val="-642732513"/>
                <w:placeholder>
                  <w:docPart w:val="6C58E4A028A94C77A2A93FD0E484A85F"/>
                </w:placeholder>
              </w:sdtPr>
              <w:sdtEndPr/>
              <w:sdtContent>
                <w:r w:rsidR="00D12D52">
                  <w:t>Cumplimiento de la resolución RESOL-2022-68-GCABA-SGCBA</w:t>
                </w:r>
                <w:r w:rsidR="00D40DC5">
                  <w:t>, ¨Procedimiento de Auditoría al momento de pro</w:t>
                </w:r>
                <w:r w:rsidR="0016575F">
                  <w:t>ducirse un Cambio de Funcionario</w:t>
                </w:r>
                <w:r w:rsidR="00D40DC5">
                  <w:t>”.</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1B794430" w14:textId="77777777" w:rsidR="00F01E84" w:rsidRDefault="00F01E84" w:rsidP="00073ADE">
            <w:pPr>
              <w:jc w:val="left"/>
              <w:rPr>
                <w:b/>
              </w:rPr>
            </w:pPr>
            <w:r>
              <w:rPr>
                <w:b/>
              </w:rPr>
              <w:t>Perí</w:t>
            </w:r>
            <w:r w:rsidRPr="007C2C3E">
              <w:rPr>
                <w:b/>
              </w:rPr>
              <w:t>odo</w:t>
            </w:r>
            <w:r>
              <w:rPr>
                <w:b/>
              </w:rPr>
              <w:t xml:space="preserve"> </w:t>
            </w:r>
          </w:p>
          <w:p w14:paraId="4A81B881" w14:textId="56476FA6" w:rsidR="00F01E84" w:rsidRDefault="00F01E84" w:rsidP="00073ADE">
            <w:pPr>
              <w:jc w:val="left"/>
              <w:rPr>
                <w:color w:val="000000"/>
                <w:sz w:val="21"/>
                <w:szCs w:val="21"/>
                <w:shd w:val="clear" w:color="auto" w:fill="FFFFFF"/>
              </w:rPr>
            </w:pPr>
            <w:r>
              <w:rPr>
                <w:b/>
              </w:rPr>
              <w:t>auditado</w:t>
            </w:r>
            <w:r w:rsidRPr="007C2C3E">
              <w:rPr>
                <w:b/>
              </w:rPr>
              <w:t>:</w:t>
            </w:r>
          </w:p>
          <w:p w14:paraId="6D901409" w14:textId="77777777" w:rsidR="00F01E84" w:rsidRDefault="00F01E84" w:rsidP="00073ADE">
            <w:pPr>
              <w:jc w:val="left"/>
            </w:pPr>
          </w:p>
          <w:p w14:paraId="4B5DA20B" w14:textId="49F7FC3B" w:rsidR="00F01E84" w:rsidRDefault="0016575F" w:rsidP="00073ADE">
            <w:pPr>
              <w:jc w:val="left"/>
            </w:pPr>
            <w:r>
              <w:t>N/A</w:t>
            </w:r>
          </w:p>
          <w:p w14:paraId="2CF9B715"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3E11A38F" w14:textId="77777777" w:rsidR="00F01E84" w:rsidRDefault="00F01E84" w:rsidP="00073ADE">
            <w:pPr>
              <w:jc w:val="left"/>
              <w:rPr>
                <w:b/>
              </w:rPr>
            </w:pPr>
            <w:r w:rsidRPr="007C2C3E">
              <w:rPr>
                <w:b/>
              </w:rPr>
              <w:t>Normativa</w:t>
            </w:r>
            <w:r>
              <w:rPr>
                <w:b/>
              </w:rPr>
              <w:t xml:space="preserve"> </w:t>
            </w:r>
          </w:p>
          <w:p w14:paraId="798C7CA7" w14:textId="2000E360" w:rsidR="00CF732C" w:rsidRPr="0016575F" w:rsidRDefault="0016575F" w:rsidP="0016575F">
            <w:pPr>
              <w:jc w:val="left"/>
              <w:rPr>
                <w:color w:val="000000"/>
                <w:sz w:val="21"/>
                <w:szCs w:val="21"/>
                <w:shd w:val="clear" w:color="auto" w:fill="FFFFFF"/>
              </w:rPr>
            </w:pPr>
            <w:r>
              <w:rPr>
                <w:b/>
              </w:rPr>
              <w:t>R</w:t>
            </w:r>
            <w:r w:rsidR="00F01E84">
              <w:rPr>
                <w:b/>
              </w:rPr>
              <w:t>elevante</w:t>
            </w:r>
            <w:r>
              <w:rPr>
                <w:b/>
              </w:rPr>
              <w:t>:</w:t>
            </w:r>
          </w:p>
          <w:p w14:paraId="4B8D1E42" w14:textId="25A799AF" w:rsidR="00CF732C" w:rsidRDefault="0032182A" w:rsidP="00CF732C">
            <w:pPr>
              <w:pStyle w:val="Prrafodelista"/>
              <w:numPr>
                <w:ilvl w:val="0"/>
                <w:numId w:val="36"/>
              </w:numPr>
              <w:ind w:left="34" w:hanging="99"/>
              <w:jc w:val="left"/>
              <w:rPr>
                <w:color w:val="000000"/>
                <w:sz w:val="21"/>
                <w:szCs w:val="21"/>
                <w:shd w:val="clear" w:color="auto" w:fill="FFFFFF"/>
              </w:rPr>
            </w:pPr>
            <w:r>
              <w:rPr>
                <w:color w:val="000000"/>
                <w:sz w:val="21"/>
                <w:szCs w:val="21"/>
                <w:shd w:val="clear" w:color="auto" w:fill="FFFFFF"/>
              </w:rPr>
              <w:t xml:space="preserve"> </w:t>
            </w:r>
            <w:r w:rsidR="00CF732C">
              <w:rPr>
                <w:color w:val="000000"/>
                <w:sz w:val="21"/>
                <w:szCs w:val="21"/>
                <w:shd w:val="clear" w:color="auto" w:fill="FFFFFF"/>
              </w:rPr>
              <w:t>Ley N°6.684</w:t>
            </w:r>
          </w:p>
          <w:p w14:paraId="76B895B7" w14:textId="29BF94A2" w:rsidR="0016575F" w:rsidRDefault="0032182A" w:rsidP="00CF732C">
            <w:pPr>
              <w:pStyle w:val="Prrafodelista"/>
              <w:numPr>
                <w:ilvl w:val="0"/>
                <w:numId w:val="36"/>
              </w:numPr>
              <w:ind w:left="34" w:hanging="99"/>
              <w:jc w:val="left"/>
              <w:rPr>
                <w:color w:val="000000"/>
                <w:sz w:val="21"/>
                <w:szCs w:val="21"/>
                <w:shd w:val="clear" w:color="auto" w:fill="FFFFFF"/>
              </w:rPr>
            </w:pPr>
            <w:r>
              <w:rPr>
                <w:color w:val="000000"/>
                <w:sz w:val="21"/>
                <w:szCs w:val="21"/>
                <w:shd w:val="clear" w:color="auto" w:fill="FFFFFF"/>
              </w:rPr>
              <w:t xml:space="preserve"> </w:t>
            </w:r>
            <w:r w:rsidR="0016575F">
              <w:rPr>
                <w:color w:val="000000"/>
                <w:sz w:val="21"/>
                <w:szCs w:val="21"/>
                <w:shd w:val="clear" w:color="auto" w:fill="FFFFFF"/>
              </w:rPr>
              <w:t>Decreto N° 387/23</w:t>
            </w:r>
          </w:p>
          <w:p w14:paraId="74EA8C7C" w14:textId="35B5DE53" w:rsidR="00CF732C" w:rsidRDefault="0032182A" w:rsidP="00CF732C">
            <w:pPr>
              <w:pStyle w:val="Prrafodelista"/>
              <w:numPr>
                <w:ilvl w:val="0"/>
                <w:numId w:val="36"/>
              </w:numPr>
              <w:ind w:left="34" w:hanging="99"/>
              <w:jc w:val="left"/>
              <w:rPr>
                <w:color w:val="000000"/>
                <w:sz w:val="21"/>
                <w:szCs w:val="21"/>
                <w:shd w:val="clear" w:color="auto" w:fill="FFFFFF"/>
              </w:rPr>
            </w:pPr>
            <w:r>
              <w:rPr>
                <w:color w:val="000000"/>
                <w:sz w:val="21"/>
                <w:szCs w:val="21"/>
                <w:shd w:val="clear" w:color="auto" w:fill="FFFFFF"/>
              </w:rPr>
              <w:t xml:space="preserve"> </w:t>
            </w:r>
            <w:r w:rsidR="00CF732C">
              <w:rPr>
                <w:color w:val="000000"/>
                <w:sz w:val="21"/>
                <w:szCs w:val="21"/>
                <w:shd w:val="clear" w:color="auto" w:fill="FFFFFF"/>
              </w:rPr>
              <w:t>Decreto N°466/23</w:t>
            </w:r>
          </w:p>
          <w:p w14:paraId="054A7637" w14:textId="1D1ED6F8" w:rsidR="00CF732C" w:rsidRPr="00CF732C" w:rsidRDefault="0032182A" w:rsidP="00CF732C">
            <w:pPr>
              <w:pStyle w:val="Prrafodelista"/>
              <w:numPr>
                <w:ilvl w:val="0"/>
                <w:numId w:val="36"/>
              </w:numPr>
              <w:ind w:left="34" w:hanging="99"/>
              <w:jc w:val="left"/>
              <w:rPr>
                <w:color w:val="000000"/>
                <w:sz w:val="21"/>
                <w:szCs w:val="21"/>
                <w:shd w:val="clear" w:color="auto" w:fill="FFFFFF"/>
              </w:rPr>
            </w:pPr>
            <w:r>
              <w:rPr>
                <w:color w:val="000000"/>
                <w:sz w:val="21"/>
                <w:szCs w:val="21"/>
                <w:shd w:val="clear" w:color="auto" w:fill="FFFFFF"/>
              </w:rPr>
              <w:t xml:space="preserve"> </w:t>
            </w:r>
            <w:r w:rsidR="00CF732C">
              <w:rPr>
                <w:color w:val="000000"/>
                <w:sz w:val="21"/>
                <w:szCs w:val="21"/>
                <w:shd w:val="clear" w:color="auto" w:fill="FFFFFF"/>
              </w:rPr>
              <w:t>Resolución N°68/22</w:t>
            </w:r>
          </w:p>
          <w:p w14:paraId="31F1F355" w14:textId="77777777" w:rsidR="00F01E84" w:rsidRDefault="00F01E84"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2A10DEFE" w14:textId="60A23120" w:rsidR="00F01E84" w:rsidRDefault="00F01E84" w:rsidP="00073ADE">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46FB2633" w14:textId="473B6805" w:rsidR="00F01E84" w:rsidRDefault="00CF732C" w:rsidP="00073ADE">
            <w:pPr>
              <w:jc w:val="left"/>
            </w:pPr>
            <w:r>
              <w:t>CP. Leandro Gargiulo</w:t>
            </w:r>
          </w:p>
          <w:p w14:paraId="4D126E18" w14:textId="6308F629" w:rsidR="00CF732C" w:rsidRDefault="00CF732C" w:rsidP="00073ADE">
            <w:pPr>
              <w:jc w:val="left"/>
            </w:pPr>
            <w:r>
              <w:t xml:space="preserve">Dra. </w:t>
            </w:r>
            <w:r w:rsidR="006D7E2F">
              <w:t>María</w:t>
            </w:r>
            <w:r>
              <w:t xml:space="preserve"> Florencia Marchetto</w:t>
            </w:r>
          </w:p>
          <w:p w14:paraId="71AFAC80" w14:textId="156DA988" w:rsidR="00CF732C" w:rsidRDefault="00CF732C" w:rsidP="00073ADE">
            <w:pPr>
              <w:jc w:val="left"/>
            </w:pPr>
            <w:r>
              <w:t>Sr. Felipe Roberto</w:t>
            </w:r>
          </w:p>
          <w:p w14:paraId="2B0D8D84" w14:textId="09AD2F31" w:rsidR="00CF732C" w:rsidRDefault="00CF732C" w:rsidP="00073ADE">
            <w:pPr>
              <w:jc w:val="left"/>
            </w:pPr>
            <w:r>
              <w:t>Sra. Victoria Bregonzi</w:t>
            </w:r>
          </w:p>
          <w:p w14:paraId="53F81AC1" w14:textId="34B40DCE" w:rsidR="00CF732C" w:rsidRDefault="00CF732C" w:rsidP="00073ADE">
            <w:pPr>
              <w:jc w:val="left"/>
            </w:pPr>
            <w:r>
              <w:t>Dra. Laura Santoyanni</w:t>
            </w: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396164B" w:rsidR="00F01E84" w:rsidRDefault="00F01E84" w:rsidP="00F34E95">
            <w:pPr>
              <w:spacing w:before="20"/>
              <w:rPr>
                <w:b/>
              </w:rPr>
            </w:pPr>
            <w:r w:rsidRPr="00CA49D5">
              <w:rPr>
                <w:b/>
                <w:caps/>
              </w:rPr>
              <w:t xml:space="preserve">Proyecto </w:t>
            </w:r>
            <w:proofErr w:type="spellStart"/>
            <w:r w:rsidRPr="00CA49D5">
              <w:rPr>
                <w:b/>
                <w:caps/>
              </w:rPr>
              <w:t>N°</w:t>
            </w:r>
            <w:sdt>
              <w:sdtPr>
                <w:rPr>
                  <w:b/>
                </w:rPr>
                <w:alias w:val="proyecto"/>
                <w:tag w:val="proyecto"/>
                <w:id w:val="-1888791542"/>
                <w:placeholder>
                  <w:docPart w:val="40D24299F87D420D8B5C9F3AF252C27F"/>
                </w:placeholder>
              </w:sdtPr>
              <w:sdtEndPr/>
              <w:sdtContent>
                <w:r w:rsidR="0088227E">
                  <w:rPr>
                    <w:b/>
                  </w:rPr>
                  <w:t>I</w:t>
                </w:r>
                <w:proofErr w:type="spellEnd"/>
                <w:r w:rsidR="0088227E">
                  <w:rPr>
                    <w:b/>
                  </w:rPr>
                  <w:t xml:space="preserve"> 01/24</w:t>
                </w:r>
              </w:sdtContent>
            </w:sdt>
          </w:p>
          <w:p w14:paraId="7316EC05" w14:textId="511B2362" w:rsidR="00F01E84" w:rsidRDefault="00743EE2" w:rsidP="00F34E95">
            <w:pPr>
              <w:spacing w:before="20"/>
              <w:rPr>
                <w:b/>
              </w:rPr>
            </w:pPr>
            <w:sdt>
              <w:sdtPr>
                <w:rPr>
                  <w:b/>
                </w:rPr>
                <w:alias w:val="ministerio"/>
                <w:tag w:val="ministerio"/>
                <w:id w:val="1935930606"/>
                <w:placeholder>
                  <w:docPart w:val="40D24299F87D420D8B5C9F3AF252C27F"/>
                </w:placeholder>
              </w:sdtPr>
              <w:sdtEndPr/>
              <w:sdtContent>
                <w:r w:rsidR="00D12D52">
                  <w:rPr>
                    <w:b/>
                  </w:rPr>
                  <w:t>Ministerio de Desarrollo Económico</w:t>
                </w:r>
              </w:sdtContent>
            </w:sdt>
          </w:p>
          <w:sdt>
            <w:sdtPr>
              <w:rPr>
                <w:b/>
              </w:rPr>
              <w:alias w:val="secretaria"/>
              <w:tag w:val="secretaria"/>
              <w:id w:val="291799960"/>
              <w:placeholder>
                <w:docPart w:val="40D24299F87D420D8B5C9F3AF252C27F"/>
              </w:placeholder>
              <w:showingPlcHdr/>
            </w:sdtPr>
            <w:sdtEndPr/>
            <w:sdtContent>
              <w:p w14:paraId="7316EC06" w14:textId="41D07575" w:rsidR="00F01E84" w:rsidRDefault="002C732C" w:rsidP="00F34E95">
                <w:pPr>
                  <w:spacing w:before="20"/>
                  <w:rPr>
                    <w:b/>
                  </w:rPr>
                </w:pPr>
                <w:r>
                  <w:rPr>
                    <w:rStyle w:val="Textodelmarcadordeposicin"/>
                  </w:rPr>
                  <w:t>…</w:t>
                </w:r>
                <w:r w:rsidRPr="00914BFD">
                  <w:rPr>
                    <w:rStyle w:val="Textodelmarcadordeposicin"/>
                  </w:rPr>
                  <w:t>.</w:t>
                </w:r>
              </w:p>
            </w:sdtContent>
          </w:sdt>
          <w:sdt>
            <w:sdtPr>
              <w:rPr>
                <w:b/>
              </w:rPr>
              <w:alias w:val="subsecretaria"/>
              <w:tag w:val="subsecretaria"/>
              <w:id w:val="-1098255551"/>
              <w:placeholder>
                <w:docPart w:val="40D24299F87D420D8B5C9F3AF252C27F"/>
              </w:placeholder>
              <w:showingPlcHdr/>
            </w:sdtPr>
            <w:sdtEndPr/>
            <w:sdtContent>
              <w:p w14:paraId="7316EC07" w14:textId="6FC75824" w:rsidR="00F01E84" w:rsidRDefault="002C732C" w:rsidP="00F34E95">
                <w:pPr>
                  <w:spacing w:before="20"/>
                  <w:rPr>
                    <w:b/>
                  </w:rPr>
                </w:pPr>
                <w:r>
                  <w:rPr>
                    <w:rStyle w:val="Textodelmarcadordeposicin"/>
                  </w:rPr>
                  <w:t>…</w:t>
                </w:r>
                <w:r w:rsidRPr="00914BFD">
                  <w:rPr>
                    <w:rStyle w:val="Textodelmarcadordeposicin"/>
                  </w:rPr>
                  <w:t>.</w:t>
                </w:r>
              </w:p>
            </w:sdtContent>
          </w:sdt>
          <w:sdt>
            <w:sdtPr>
              <w:rPr>
                <w:b/>
              </w:rPr>
              <w:alias w:val="direccionGeneral"/>
              <w:tag w:val="direccionGeneral"/>
              <w:id w:val="294179941"/>
              <w:placeholder>
                <w:docPart w:val="40D24299F87D420D8B5C9F3AF252C27F"/>
              </w:placeholder>
              <w:showingPlcHdr/>
            </w:sdtPr>
            <w:sdtEndPr/>
            <w:sdtContent>
              <w:p w14:paraId="7316EC08" w14:textId="4D8D53B0" w:rsidR="00F01E84" w:rsidRPr="00A57FA9" w:rsidRDefault="002C732C" w:rsidP="00F34E95">
                <w:pPr>
                  <w:spacing w:before="20"/>
                  <w:rPr>
                    <w:b/>
                  </w:rPr>
                </w:pPr>
                <w:r>
                  <w:rPr>
                    <w:rStyle w:val="Textodelmarcadordeposicin"/>
                  </w:rPr>
                  <w:t>…</w:t>
                </w:r>
                <w:r w:rsidRPr="00914BFD">
                  <w:rPr>
                    <w:rStyle w:val="Textodelmarcadordeposicin"/>
                  </w:rPr>
                  <w:t>.</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027B51DA" w14:textId="7D8891C0" w:rsidR="002C732C" w:rsidRDefault="00D40DC5" w:rsidP="002C732C">
            <w:pPr>
              <w:pStyle w:val="Prrafodelista"/>
              <w:tabs>
                <w:tab w:val="num" w:pos="1440"/>
              </w:tabs>
              <w:ind w:left="0"/>
              <w:rPr>
                <w:rFonts w:cs="Arial"/>
              </w:rPr>
            </w:pPr>
            <w:r>
              <w:rPr>
                <w:color w:val="000000"/>
                <w:sz w:val="21"/>
                <w:szCs w:val="21"/>
                <w:shd w:val="clear" w:color="auto" w:fill="FFFFFF"/>
              </w:rPr>
              <w:t>El alcance del Informe c</w:t>
            </w:r>
            <w:r>
              <w:rPr>
                <w:rFonts w:cs="Arial"/>
              </w:rPr>
              <w:t xml:space="preserve">onsistió en la verificación del </w:t>
            </w:r>
            <w:r w:rsidR="002C732C" w:rsidRPr="00145115">
              <w:rPr>
                <w:rFonts w:cs="Arial"/>
              </w:rPr>
              <w:t xml:space="preserve">cumplimiento </w:t>
            </w:r>
            <w:r w:rsidR="002C732C">
              <w:rPr>
                <w:rFonts w:cs="Arial"/>
              </w:rPr>
              <w:t>del “Procedimiento de Auditoría al momento de producirse un Cambio de Funcionario”</w:t>
            </w:r>
            <w:r w:rsidR="002C732C" w:rsidRPr="00145115">
              <w:rPr>
                <w:rFonts w:cs="Arial"/>
              </w:rPr>
              <w:t>, es</w:t>
            </w:r>
            <w:r w:rsidR="002C732C">
              <w:rPr>
                <w:rFonts w:cs="Arial"/>
              </w:rPr>
              <w:t>tablecido por la Resolución N°68-SGCBA/22.</w:t>
            </w:r>
            <w:r>
              <w:rPr>
                <w:rFonts w:cs="Arial"/>
              </w:rPr>
              <w:t xml:space="preserve"> Las tares de auditoría se llevaron a cabo </w:t>
            </w:r>
            <w:r w:rsidRPr="00933E5F">
              <w:rPr>
                <w:color w:val="000000"/>
                <w:sz w:val="21"/>
                <w:szCs w:val="21"/>
                <w:shd w:val="clear" w:color="auto" w:fill="FFFFFF"/>
              </w:rPr>
              <w:t>en la sede de esta Unidad de Auditoría Interna, sita en Mart</w:t>
            </w:r>
            <w:r>
              <w:rPr>
                <w:color w:val="000000"/>
                <w:sz w:val="21"/>
                <w:szCs w:val="21"/>
                <w:shd w:val="clear" w:color="auto" w:fill="FFFFFF"/>
              </w:rPr>
              <w:t xml:space="preserve">ín García N° 346, piso 2°, CABA. </w:t>
            </w:r>
            <w:r w:rsidR="0016575F">
              <w:rPr>
                <w:color w:val="000000"/>
                <w:sz w:val="21"/>
                <w:szCs w:val="21"/>
                <w:shd w:val="clear" w:color="auto" w:fill="FFFFFF"/>
              </w:rPr>
              <w:t>Las mismas fueron iniciadas el día 22</w:t>
            </w:r>
            <w:r w:rsidRPr="00933E5F">
              <w:rPr>
                <w:color w:val="000000"/>
                <w:sz w:val="21"/>
                <w:szCs w:val="21"/>
                <w:shd w:val="clear" w:color="auto" w:fill="FFFFFF"/>
              </w:rPr>
              <w:t xml:space="preserve"> d</w:t>
            </w:r>
            <w:r>
              <w:rPr>
                <w:color w:val="000000"/>
                <w:sz w:val="21"/>
                <w:szCs w:val="21"/>
                <w:shd w:val="clear" w:color="auto" w:fill="FFFFFF"/>
              </w:rPr>
              <w:t>e enero</w:t>
            </w:r>
            <w:r w:rsidR="0016575F">
              <w:rPr>
                <w:color w:val="000000"/>
                <w:sz w:val="21"/>
                <w:szCs w:val="21"/>
                <w:shd w:val="clear" w:color="auto" w:fill="FFFFFF"/>
              </w:rPr>
              <w:t xml:space="preserve"> del 2024 y concluidas el día 15 de marzo</w:t>
            </w:r>
            <w:r w:rsidRPr="00933E5F">
              <w:rPr>
                <w:color w:val="000000"/>
                <w:sz w:val="21"/>
                <w:szCs w:val="21"/>
                <w:shd w:val="clear" w:color="auto" w:fill="FFFFFF"/>
              </w:rPr>
              <w:t xml:space="preserve"> del mismo año.</w:t>
            </w:r>
          </w:p>
          <w:p w14:paraId="71A7EF70" w14:textId="52997F57" w:rsidR="00BE1188" w:rsidRDefault="00BE1188" w:rsidP="002C732C">
            <w:pPr>
              <w:pStyle w:val="Prrafodelista"/>
              <w:tabs>
                <w:tab w:val="num" w:pos="1440"/>
              </w:tabs>
              <w:ind w:left="0"/>
              <w:rPr>
                <w:rFonts w:cs="Arial"/>
              </w:rPr>
            </w:pPr>
          </w:p>
          <w:p w14:paraId="65B71CEC" w14:textId="3CDD6E4A" w:rsidR="00BE1188" w:rsidRDefault="00BE1188" w:rsidP="002C732C">
            <w:pPr>
              <w:pStyle w:val="Prrafodelista"/>
              <w:tabs>
                <w:tab w:val="num" w:pos="1440"/>
              </w:tabs>
              <w:ind w:left="0"/>
              <w:rPr>
                <w:rFonts w:cs="Arial"/>
              </w:rPr>
            </w:pPr>
          </w:p>
          <w:p w14:paraId="15DCDD95" w14:textId="77777777" w:rsidR="00BE1188" w:rsidRDefault="00BE1188" w:rsidP="002C732C">
            <w:pPr>
              <w:pStyle w:val="Prrafodelista"/>
              <w:tabs>
                <w:tab w:val="num" w:pos="1440"/>
              </w:tabs>
              <w:ind w:left="0"/>
              <w:rPr>
                <w:rFonts w:cs="Arial"/>
              </w:rPr>
            </w:pPr>
          </w:p>
          <w:p w14:paraId="7F5A5861" w14:textId="183B5B0D" w:rsidR="002C732C" w:rsidRPr="00BE1188" w:rsidRDefault="002C732C" w:rsidP="00BE1188">
            <w:pPr>
              <w:pStyle w:val="Prrafodelista"/>
              <w:numPr>
                <w:ilvl w:val="0"/>
                <w:numId w:val="38"/>
              </w:numPr>
              <w:rPr>
                <w:rFonts w:cs="Arial"/>
              </w:rPr>
            </w:pPr>
            <w:r w:rsidRPr="00BE1188">
              <w:rPr>
                <w:rFonts w:cs="Arial"/>
              </w:rPr>
              <w:t>Estudio y análisis de la normativa vigente relacionada con el objeto de Auditoria.</w:t>
            </w:r>
          </w:p>
          <w:p w14:paraId="53FF460F" w14:textId="388CFE44" w:rsidR="00B00D6C" w:rsidRPr="00BE1188" w:rsidRDefault="002C732C" w:rsidP="00BE1188">
            <w:pPr>
              <w:pStyle w:val="Prrafodelista"/>
              <w:numPr>
                <w:ilvl w:val="0"/>
                <w:numId w:val="38"/>
              </w:numPr>
              <w:rPr>
                <w:rFonts w:cs="Arial"/>
              </w:rPr>
            </w:pPr>
            <w:r w:rsidRPr="00BE1188">
              <w:rPr>
                <w:rFonts w:cs="Arial"/>
              </w:rPr>
              <w:t>Relevamiento, verificación y análisis de las dependencias del Ministerio de Desarrollo Económico alcanzadas por la Resolución N°</w:t>
            </w:r>
            <w:r w:rsidR="0016575F">
              <w:rPr>
                <w:rFonts w:cs="Arial"/>
              </w:rPr>
              <w:t xml:space="preserve"> </w:t>
            </w:r>
            <w:r w:rsidRPr="00BE1188">
              <w:rPr>
                <w:rFonts w:cs="Arial"/>
              </w:rPr>
              <w:t>68-SGCBA/22 para la realización del Procedimiento de Cambio de Funcionario y sus expedientes electrónicos para analizar los formularios realizados por las dependencias para el Cierre de Gestión del 2023</w:t>
            </w:r>
            <w:r w:rsidR="00CF732C" w:rsidRPr="00BE1188">
              <w:rPr>
                <w:rFonts w:cs="Arial"/>
              </w:rPr>
              <w:t>.</w:t>
            </w:r>
          </w:p>
          <w:p w14:paraId="3EDD485F" w14:textId="23C1E64E" w:rsidR="00CF732C" w:rsidRPr="00BE1188" w:rsidRDefault="0016575F" w:rsidP="00BE1188">
            <w:pPr>
              <w:pStyle w:val="Prrafodelista"/>
              <w:numPr>
                <w:ilvl w:val="0"/>
                <w:numId w:val="38"/>
              </w:numPr>
              <w:rPr>
                <w:rFonts w:cs="Arial"/>
              </w:rPr>
            </w:pPr>
            <w:r>
              <w:rPr>
                <w:rFonts w:cs="Arial"/>
              </w:rPr>
              <w:t>Relevamiento y análisis de la información suministrada por los organismos auditados en relación con los requerimientos previstos en la Resolución N° 68-SGCBA/22.</w:t>
            </w:r>
          </w:p>
          <w:p w14:paraId="61D1ADC5" w14:textId="717992D2"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3972D5CE" w14:textId="481663BC" w:rsidR="00F01E84" w:rsidRDefault="00716B4A" w:rsidP="00F01E84">
            <w:pPr>
              <w:rPr>
                <w:color w:val="000000"/>
                <w:sz w:val="21"/>
                <w:szCs w:val="21"/>
                <w:shd w:val="clear" w:color="auto" w:fill="FFFFFF"/>
              </w:rPr>
            </w:pPr>
            <w:r>
              <w:rPr>
                <w:b/>
              </w:rPr>
              <w:t>Limitaciones</w:t>
            </w:r>
            <w:r w:rsidR="00F01E84" w:rsidRPr="007C2C3E">
              <w:rPr>
                <w:b/>
              </w:rPr>
              <w:t xml:space="preserve"> al </w:t>
            </w:r>
            <w:r>
              <w:rPr>
                <w:b/>
              </w:rPr>
              <w:t>a</w:t>
            </w:r>
            <w:r w:rsidR="00F01E84" w:rsidRPr="007C2C3E">
              <w:rPr>
                <w:b/>
              </w:rPr>
              <w:t>lcance:</w:t>
            </w:r>
            <w:r w:rsidR="00F01E84" w:rsidRPr="007C2C3E">
              <w:rPr>
                <w:color w:val="000000"/>
                <w:sz w:val="21"/>
                <w:szCs w:val="21"/>
                <w:shd w:val="clear" w:color="auto" w:fill="FFFFFF"/>
              </w:rPr>
              <w:t xml:space="preserve"> </w:t>
            </w:r>
          </w:p>
          <w:p w14:paraId="1DFCF3D9" w14:textId="77777777" w:rsidR="002C732C" w:rsidRDefault="002C732C" w:rsidP="00F01E84">
            <w:pPr>
              <w:rPr>
                <w:color w:val="000000"/>
                <w:sz w:val="21"/>
                <w:szCs w:val="21"/>
                <w:shd w:val="clear" w:color="auto" w:fill="FFFFFF"/>
              </w:rPr>
            </w:pPr>
          </w:p>
          <w:p w14:paraId="2495CE34" w14:textId="0BEF49D5" w:rsidR="002C732C" w:rsidRPr="00BE1188" w:rsidRDefault="002C732C" w:rsidP="00BE1188">
            <w:pPr>
              <w:pStyle w:val="Prrafodelista"/>
              <w:numPr>
                <w:ilvl w:val="0"/>
                <w:numId w:val="37"/>
              </w:numPr>
              <w:rPr>
                <w:rFonts w:cs="Arial"/>
              </w:rPr>
            </w:pPr>
            <w:r w:rsidRPr="00BE1188">
              <w:rPr>
                <w:rFonts w:cs="Arial"/>
              </w:rPr>
              <w:t>En relación con las áreas suprimidas, no fue posible realizar el Corte Sindicatura en el Sistema de Administración de Documentos Electrónicos (SADE) debido a que la información de las mismas ya no se encontraba accesible para esta Unidad de Auditoría en el mencionado sistema.</w:t>
            </w:r>
          </w:p>
          <w:p w14:paraId="136A4B16" w14:textId="7F93311F" w:rsidR="002C732C" w:rsidRDefault="002C732C" w:rsidP="002C732C">
            <w:pPr>
              <w:rPr>
                <w:rFonts w:cs="Arial"/>
              </w:rPr>
            </w:pPr>
          </w:p>
          <w:p w14:paraId="71A7A94A" w14:textId="0A3356A9" w:rsidR="002C732C" w:rsidRPr="00BE1188" w:rsidRDefault="002C732C" w:rsidP="00BE1188">
            <w:pPr>
              <w:pStyle w:val="Prrafodelista"/>
              <w:numPr>
                <w:ilvl w:val="0"/>
                <w:numId w:val="37"/>
              </w:numPr>
              <w:rPr>
                <w:rFonts w:cs="Arial"/>
              </w:rPr>
            </w:pPr>
            <w:r w:rsidRPr="00BE1188">
              <w:rPr>
                <w:rFonts w:cs="Arial"/>
              </w:rPr>
              <w:t>Cabe mencionar como limitación al alcance el hecho de no haberse podido constatar la baja de los TOKEN bancarios, dado que el Banco de la Ciudad de Buenos Aires procedió unilateralmente a la baja de los mismos debido al cambio de gestión.</w:t>
            </w:r>
          </w:p>
          <w:p w14:paraId="4CD06461" w14:textId="77777777" w:rsidR="002C732C" w:rsidRDefault="002C732C" w:rsidP="002C732C">
            <w:pPr>
              <w:rPr>
                <w:rFonts w:cs="Arial"/>
              </w:rPr>
            </w:pPr>
          </w:p>
          <w:p w14:paraId="7316EC1E" w14:textId="49B99A02"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57378EB2" w14:textId="70F21978" w:rsidR="00F01E84" w:rsidRDefault="00F01E84" w:rsidP="00956DC8">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412AB4EB" w14:textId="14E57B01" w:rsidR="00AC58C0" w:rsidRPr="00AC58C0" w:rsidRDefault="00AC58C0" w:rsidP="00956DC8">
            <w:r>
              <w:rPr>
                <w:rFonts w:cs="Arial"/>
              </w:rPr>
              <w:t xml:space="preserve">De las tareas de auditoría llevadas a cabo se verificó que </w:t>
            </w:r>
            <w:r w:rsidR="0016575F">
              <w:rPr>
                <w:rFonts w:cs="Arial"/>
              </w:rPr>
              <w:t xml:space="preserve">el ochenta y cinco como siente por ciento (85,7%), de los casos contiene errores y </w:t>
            </w:r>
            <w:r w:rsidR="0016575F" w:rsidRPr="00125939">
              <w:rPr>
                <w:rFonts w:cs="Arial"/>
              </w:rPr>
              <w:t xml:space="preserve">omisiones en la confección de los formularios y en la documentación </w:t>
            </w:r>
            <w:proofErr w:type="spellStart"/>
            <w:r w:rsidR="0016575F" w:rsidRPr="00125939">
              <w:rPr>
                <w:rFonts w:cs="Arial"/>
              </w:rPr>
              <w:t>respaldatoria</w:t>
            </w:r>
            <w:proofErr w:type="spellEnd"/>
            <w:r w:rsidR="0016575F" w:rsidRPr="00125939">
              <w:rPr>
                <w:rFonts w:cs="Arial"/>
              </w:rPr>
              <w:t xml:space="preserve"> requerida</w:t>
            </w:r>
            <w:r>
              <w:t xml:space="preserve">. Asimismo, </w:t>
            </w:r>
            <w:r>
              <w:rPr>
                <w:rFonts w:cs="Arial"/>
              </w:rPr>
              <w:t xml:space="preserve">se constató </w:t>
            </w:r>
            <w:r w:rsidR="0016575F">
              <w:rPr>
                <w:rFonts w:cs="Arial"/>
              </w:rPr>
              <w:t>que en dos (2) casos, esto es, el nueve como cinco por ciento (9,5 %) del total</w:t>
            </w:r>
            <w:r>
              <w:rPr>
                <w:rFonts w:cs="Arial"/>
              </w:rPr>
              <w:t xml:space="preserve"> </w:t>
            </w:r>
            <w:r>
              <w:rPr>
                <w:rFonts w:cs="Arial"/>
              </w:rPr>
              <w:lastRenderedPageBreak/>
              <w:t>de dependencias alcanzadas</w:t>
            </w:r>
            <w:r w:rsidR="0016575F">
              <w:rPr>
                <w:rFonts w:cs="Arial"/>
              </w:rPr>
              <w:t xml:space="preserve">, </w:t>
            </w:r>
            <w:r w:rsidR="0016575F" w:rsidRPr="009E6E32">
              <w:rPr>
                <w:rFonts w:cs="Arial"/>
              </w:rPr>
              <w:t>el funcionario saliente no procedió a dar la baja del TOKEN</w:t>
            </w:r>
            <w:r w:rsidR="0016575F">
              <w:rPr>
                <w:rFonts w:cs="Arial"/>
              </w:rPr>
              <w:t xml:space="preserve"> de firma</w:t>
            </w:r>
            <w:r>
              <w:t xml:space="preserve">, y </w:t>
            </w:r>
            <w:r>
              <w:rPr>
                <w:rFonts w:cs="Arial"/>
              </w:rPr>
              <w:t>que en tres (3) casos, esto es, el catorce como dos por ciento (14,2 %) del total, los funcionarios salientes no procedieron a la devo</w:t>
            </w:r>
            <w:bookmarkStart w:id="0" w:name="_GoBack"/>
            <w:bookmarkEnd w:id="0"/>
            <w:r>
              <w:rPr>
                <w:rFonts w:cs="Arial"/>
              </w:rPr>
              <w:t>lución de las terminales móviles que les habían sido asignadas.</w:t>
            </w:r>
            <w:r>
              <w:t xml:space="preserve"> Por otra parte, </w:t>
            </w:r>
            <w:r>
              <w:rPr>
                <w:rFonts w:cs="Arial"/>
              </w:rPr>
              <w:t>s</w:t>
            </w:r>
            <w:r w:rsidRPr="00612380">
              <w:rPr>
                <w:rFonts w:cs="Arial"/>
              </w:rPr>
              <w:t>e verificó que tres (3) de los funcionarios que cesaron en sus cargos, esto es, el catorce como dos por ciento (14,2 %) del total, no realizaron la presentación del Informe Final de Gestión previsto en el artículo 25 de la</w:t>
            </w:r>
            <w:r>
              <w:rPr>
                <w:rFonts w:cs="Arial"/>
              </w:rPr>
              <w:t xml:space="preserve"> Ley 70, y </w:t>
            </w:r>
            <w:r w:rsidRPr="00186A12">
              <w:t xml:space="preserve">que </w:t>
            </w:r>
            <w:r>
              <w:t>diez (10) de los mismos</w:t>
            </w:r>
            <w:r>
              <w:t xml:space="preserve">, esto es, el cuarenta y siete (48%) del total, </w:t>
            </w:r>
            <w:r>
              <w:t xml:space="preserve">no presentaron </w:t>
            </w:r>
            <w:r>
              <w:t>la Declaración Jurada Patrimonial Final</w:t>
            </w:r>
            <w:r>
              <w:t>.</w:t>
            </w:r>
          </w:p>
          <w:p w14:paraId="1FA97A53" w14:textId="77777777" w:rsidR="00F01E84" w:rsidRDefault="00F01E84" w:rsidP="00956DC8">
            <w:pPr>
              <w:rPr>
                <w:color w:val="000000"/>
                <w:sz w:val="21"/>
                <w:szCs w:val="21"/>
                <w:shd w:val="clear" w:color="auto" w:fill="FFFFFF"/>
              </w:rPr>
            </w:pPr>
          </w:p>
          <w:p w14:paraId="5D53E620"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297C5E3C" w14:textId="77777777" w:rsidR="00716B4A" w:rsidRDefault="00B00D6C" w:rsidP="00B00D6C">
            <w:pPr>
              <w:rPr>
                <w:b/>
              </w:rPr>
            </w:pPr>
            <w:r>
              <w:rPr>
                <w:b/>
              </w:rPr>
              <w:t>Res</w:t>
            </w:r>
            <w:r w:rsidRPr="007C2C3E">
              <w:rPr>
                <w:b/>
              </w:rPr>
              <w:t>puesta del organismo al Informe de Auditoría</w:t>
            </w:r>
            <w:r w:rsidRPr="00BE3D2B">
              <w:rPr>
                <w:b/>
              </w:rPr>
              <w:t>:</w:t>
            </w:r>
          </w:p>
          <w:p w14:paraId="523B353E" w14:textId="6F628B6A" w:rsidR="00B00D6C" w:rsidRDefault="00743EE2"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FD1173">
                  <w:t>No requiere opinión.</w:t>
                </w:r>
              </w:sdtContent>
            </w:sdt>
            <w:r w:rsidR="00B00D6C">
              <w:t xml:space="preserve"> </w:t>
            </w:r>
          </w:p>
          <w:p w14:paraId="1E12CC7A" w14:textId="77777777" w:rsidR="00B00D6C" w:rsidRDefault="00B00D6C" w:rsidP="00956DC8">
            <w:pPr>
              <w:rPr>
                <w:b/>
              </w:rPr>
            </w:pPr>
          </w:p>
          <w:p w14:paraId="76B04179"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1907F1F2" w14:textId="68FA3AF0" w:rsidR="00B00D6C" w:rsidRPr="00B00D6C" w:rsidRDefault="00B00D6C" w:rsidP="00956DC8">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36CBC961" w14:textId="60D8ED26" w:rsidR="00B13BC2" w:rsidRDefault="00B13BC2" w:rsidP="00B13BC2">
            <w:pPr>
              <w:pStyle w:val="Ttulo"/>
              <w:spacing w:after="120"/>
              <w:jc w:val="both"/>
              <w:rPr>
                <w:b w:val="0"/>
              </w:rPr>
            </w:pPr>
            <w:r w:rsidRPr="00531774">
              <w:rPr>
                <w:b w:val="0"/>
              </w:rPr>
              <w:t>De las tareas de verificación realizadas por esta Unidad de Auditoría Interna, respecto de la aplicación del procedimiento de auditoria al momento de producirse los cambios de funcionarios debid</w:t>
            </w:r>
            <w:r w:rsidR="0016575F">
              <w:rPr>
                <w:b w:val="0"/>
              </w:rPr>
              <w:t xml:space="preserve">o al cambio de gestión en el ex </w:t>
            </w:r>
            <w:r w:rsidRPr="00531774">
              <w:rPr>
                <w:b w:val="0"/>
              </w:rPr>
              <w:t xml:space="preserve">Ministerio de Desarrollo Económico y Producción, se concluye que, más allá de las observaciones oportunamente realizadas y las limitaciones al alcance, los funcionarios salientes han dado </w:t>
            </w:r>
            <w:r w:rsidR="006E6410">
              <w:rPr>
                <w:b w:val="0"/>
              </w:rPr>
              <w:t xml:space="preserve">razonable </w:t>
            </w:r>
            <w:r w:rsidRPr="00531774">
              <w:rPr>
                <w:b w:val="0"/>
              </w:rPr>
              <w:t>cumplimiento a los lineamientos establecidos por la Resolución Nº 68-SGCBA/22.</w:t>
            </w:r>
          </w:p>
          <w:p w14:paraId="60D97FE4" w14:textId="77777777" w:rsidR="00B00D6C" w:rsidRDefault="00B00D6C"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3F5F7D39" w14:textId="1FE5361F" w:rsidR="00073ADE" w:rsidRDefault="00073ADE" w:rsidP="00BC143E">
            <w:pPr>
              <w:tabs>
                <w:tab w:val="left" w:pos="2985"/>
              </w:tabs>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BC143E">
      <w:pPr>
        <w:tabs>
          <w:tab w:val="left" w:pos="3630"/>
        </w:tabs>
        <w:rPr>
          <w:lang w:eastAsia="es-ES"/>
        </w:rPr>
      </w:pPr>
    </w:p>
    <w:sectPr w:rsidR="005F7356" w:rsidRPr="00073ADE" w:rsidSect="008B0144">
      <w:headerReference w:type="default" r:id="rId11"/>
      <w:footerReference w:type="default" r:id="rId12"/>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CA98" w14:textId="77777777" w:rsidR="00044B67" w:rsidRDefault="00044B67" w:rsidP="0063283F">
      <w:r>
        <w:separator/>
      </w:r>
    </w:p>
  </w:endnote>
  <w:endnote w:type="continuationSeparator" w:id="0">
    <w:p w14:paraId="5623F982" w14:textId="77777777" w:rsidR="00044B67" w:rsidRDefault="00044B67"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3D37" w14:textId="77777777" w:rsidR="00BC143E" w:rsidRDefault="00BC143E" w:rsidP="00BC143E">
    <w:pPr>
      <w:autoSpaceDE w:val="0"/>
      <w:autoSpaceDN w:val="0"/>
      <w:adjustRightInd w:val="0"/>
      <w:jc w:val="center"/>
      <w:rPr>
        <w:rFonts w:cs="Arial"/>
        <w:i/>
        <w:sz w:val="16"/>
        <w:szCs w:val="16"/>
        <w:lang w:eastAsia="es-ES"/>
      </w:rPr>
    </w:pPr>
  </w:p>
  <w:p w14:paraId="3D6B6D2E" w14:textId="77777777" w:rsidR="00BC143E" w:rsidRPr="00451091" w:rsidRDefault="00BC143E" w:rsidP="00BC143E">
    <w:pPr>
      <w:autoSpaceDE w:val="0"/>
      <w:autoSpaceDN w:val="0"/>
      <w:adjustRightInd w:val="0"/>
      <w:jc w:val="center"/>
      <w:rPr>
        <w:rFonts w:cs="Arial"/>
        <w:i/>
        <w:iCs/>
        <w:sz w:val="16"/>
        <w:szCs w:val="16"/>
        <w:lang w:eastAsia="es-ES"/>
      </w:rPr>
    </w:pPr>
    <w:r w:rsidRPr="00451091">
      <w:rPr>
        <w:rFonts w:cs="Arial"/>
        <w:i/>
        <w:sz w:val="16"/>
        <w:szCs w:val="16"/>
        <w:lang w:eastAsia="es-ES"/>
      </w:rPr>
      <w:t>“</w:t>
    </w:r>
    <w:r w:rsidRPr="00451091">
      <w:rPr>
        <w:rFonts w:cs="Arial"/>
        <w:i/>
        <w:iCs/>
        <w:sz w:val="16"/>
        <w:szCs w:val="16"/>
        <w:lang w:eastAsia="es-ES"/>
      </w:rPr>
      <w:t>El sistema de gestión de la calidad de la Sindicatura General de la Ciudad Autónoma de Buenos Aires</w:t>
    </w:r>
  </w:p>
  <w:p w14:paraId="556503B4" w14:textId="39B88064" w:rsidR="00BC143E" w:rsidRPr="00BC143E" w:rsidRDefault="00BC143E" w:rsidP="00BC143E">
    <w:pPr>
      <w:pStyle w:val="Piedepgina"/>
      <w:jc w:val="center"/>
      <w:rPr>
        <w:i/>
        <w:sz w:val="16"/>
        <w:szCs w:val="16"/>
      </w:rPr>
    </w:pPr>
    <w:r w:rsidRPr="00451091">
      <w:rPr>
        <w:rFonts w:cs="Arial"/>
        <w:i/>
        <w:iCs/>
        <w:sz w:val="16"/>
        <w:szCs w:val="16"/>
        <w:lang w:eastAsia="es-ES"/>
      </w:rPr>
      <w:t>ha sido certificado según la norma IRAM-ISO 9001:2015.”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3838" w14:textId="77777777" w:rsidR="00044B67" w:rsidRDefault="00044B67" w:rsidP="0063283F">
      <w:r>
        <w:separator/>
      </w:r>
    </w:p>
  </w:footnote>
  <w:footnote w:type="continuationSeparator" w:id="0">
    <w:p w14:paraId="176EE3C0" w14:textId="77777777" w:rsidR="00044B67" w:rsidRDefault="00044B67"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A7088"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411F9B4E" w:rsidR="00747CCD" w:rsidRDefault="00BC143E" w:rsidP="00747CCD">
    <w:pPr>
      <w:spacing w:after="120"/>
      <w:rPr>
        <w:rFonts w:cs="Arial"/>
        <w:lang w:val="es-AR"/>
      </w:rPr>
    </w:pPr>
    <w:r w:rsidRPr="009133E1">
      <w:rPr>
        <w:rFonts w:ascii="Chalet" w:hAnsi="Chalet" w:cs="Arial"/>
        <w:b/>
        <w:noProof/>
        <w:sz w:val="36"/>
        <w:lang w:val="es-AR" w:eastAsia="es-AR"/>
      </w:rPr>
      <w:drawing>
        <wp:anchor distT="0" distB="0" distL="114300" distR="114300" simplePos="0" relativeHeight="251663360" behindDoc="0" locked="0" layoutInCell="1" allowOverlap="1" wp14:anchorId="74FCD9D3" wp14:editId="4F2ADE10">
          <wp:simplePos x="0" y="0"/>
          <wp:positionH relativeFrom="column">
            <wp:posOffset>5352415</wp:posOffset>
          </wp:positionH>
          <wp:positionV relativeFrom="paragraph">
            <wp:posOffset>177800</wp:posOffset>
          </wp:positionV>
          <wp:extent cx="937260" cy="1019175"/>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GCBA VERTICAL 3.5CM.png"/>
                  <pic:cNvPicPr/>
                </pic:nvPicPr>
                <pic:blipFill>
                  <a:blip r:embed="rId1">
                    <a:extLst>
                      <a:ext uri="{28A0092B-C50C-407E-A947-70E740481C1C}">
                        <a14:useLocalDpi xmlns:a14="http://schemas.microsoft.com/office/drawing/2010/main" val="0"/>
                      </a:ext>
                    </a:extLst>
                  </a:blip>
                  <a:stretch>
                    <a:fillRect/>
                  </a:stretch>
                </pic:blipFill>
                <pic:spPr>
                  <a:xfrm>
                    <a:off x="0" y="0"/>
                    <a:ext cx="937260" cy="1019175"/>
                  </a:xfrm>
                  <a:prstGeom prst="rect">
                    <a:avLst/>
                  </a:prstGeom>
                </pic:spPr>
              </pic:pic>
            </a:graphicData>
          </a:graphic>
          <wp14:sizeRelH relativeFrom="page">
            <wp14:pctWidth>0</wp14:pctWidth>
          </wp14:sizeRelH>
          <wp14:sizeRelV relativeFrom="page">
            <wp14:pctHeight>0</wp14:pctHeight>
          </wp14:sizeRelV>
        </wp:anchor>
      </w:drawing>
    </w: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7495C94A">
          <wp:simplePos x="0" y="0"/>
          <wp:positionH relativeFrom="column">
            <wp:posOffset>-831215</wp:posOffset>
          </wp:positionH>
          <wp:positionV relativeFrom="paragraph">
            <wp:posOffset>180340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65EA0164"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80523"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0825D0D4"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p w14:paraId="19F81013" w14:textId="6A174187" w:rsidR="0075232B" w:rsidRDefault="0075232B" w:rsidP="0075232B">
    <w:pPr>
      <w:jc w:val="center"/>
      <w:rPr>
        <w:b/>
        <w:i/>
        <w:sz w:val="20"/>
      </w:rPr>
    </w:pPr>
  </w:p>
  <w:p w14:paraId="41666E2C" w14:textId="31E73D47" w:rsidR="00747CCD" w:rsidRPr="00697238" w:rsidRDefault="00697238" w:rsidP="0075232B">
    <w:pPr>
      <w:pStyle w:val="Encabezado"/>
      <w:jc w:val="center"/>
      <w:rPr>
        <w:rFonts w:cs="Arial"/>
        <w:b/>
        <w:bCs/>
        <w:i/>
        <w:sz w:val="20"/>
        <w:szCs w:val="20"/>
      </w:rPr>
    </w:pPr>
    <w:r w:rsidRPr="00697238">
      <w:rPr>
        <w:rFonts w:cs="Arial"/>
        <w:b/>
        <w:bCs/>
        <w:i/>
        <w:sz w:val="20"/>
        <w:szCs w:val="20"/>
      </w:rPr>
      <w:t>MINISTERIO DE DESARROLLO ECONÓMICO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E05BF"/>
    <w:multiLevelType w:val="hybridMultilevel"/>
    <w:tmpl w:val="634CB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865202"/>
    <w:multiLevelType w:val="hybridMultilevel"/>
    <w:tmpl w:val="DDB89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7"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205D37"/>
    <w:multiLevelType w:val="hybridMultilevel"/>
    <w:tmpl w:val="4B6CC6DA"/>
    <w:lvl w:ilvl="0" w:tplc="0CE63BE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9BA5126"/>
    <w:multiLevelType w:val="multilevel"/>
    <w:tmpl w:val="2E50FB94"/>
    <w:numStyleLink w:val="111111"/>
  </w:abstractNum>
  <w:abstractNum w:abstractNumId="20"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6"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92D6B"/>
    <w:multiLevelType w:val="hybridMultilevel"/>
    <w:tmpl w:val="D690E9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F20AE"/>
    <w:multiLevelType w:val="hybridMultilevel"/>
    <w:tmpl w:val="47167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6" w15:restartNumberingAfterBreak="0">
    <w:nsid w:val="75EF1B53"/>
    <w:multiLevelType w:val="hybridMultilevel"/>
    <w:tmpl w:val="50B23B3A"/>
    <w:lvl w:ilvl="0" w:tplc="7972A318">
      <w:start w:val="1"/>
      <w:numFmt w:val="decimal"/>
      <w:lvlText w:val="%1."/>
      <w:lvlJc w:val="left"/>
      <w:pPr>
        <w:ind w:left="720" w:hanging="360"/>
      </w:pPr>
      <w:rPr>
        <w:rFonts w:cs="Times New Roman" w:hint="default"/>
        <w:b/>
        <w:color w:val="000000"/>
        <w:sz w:val="2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0"/>
  </w:num>
  <w:num w:numId="3">
    <w:abstractNumId w:val="12"/>
  </w:num>
  <w:num w:numId="4">
    <w:abstractNumId w:val="32"/>
  </w:num>
  <w:num w:numId="5">
    <w:abstractNumId w:val="33"/>
  </w:num>
  <w:num w:numId="6">
    <w:abstractNumId w:val="14"/>
  </w:num>
  <w:num w:numId="7">
    <w:abstractNumId w:val="26"/>
  </w:num>
  <w:num w:numId="8">
    <w:abstractNumId w:val="3"/>
  </w:num>
  <w:num w:numId="9">
    <w:abstractNumId w:val="17"/>
  </w:num>
  <w:num w:numId="10">
    <w:abstractNumId w:val="6"/>
  </w:num>
  <w:num w:numId="11">
    <w:abstractNumId w:val="22"/>
  </w:num>
  <w:num w:numId="12">
    <w:abstractNumId w:val="8"/>
  </w:num>
  <w:num w:numId="13">
    <w:abstractNumId w:val="21"/>
  </w:num>
  <w:num w:numId="14">
    <w:abstractNumId w:val="29"/>
  </w:num>
  <w:num w:numId="15">
    <w:abstractNumId w:val="28"/>
  </w:num>
  <w:num w:numId="16">
    <w:abstractNumId w:val="23"/>
  </w:num>
  <w:num w:numId="17">
    <w:abstractNumId w:val="24"/>
  </w:num>
  <w:num w:numId="18">
    <w:abstractNumId w:val="34"/>
  </w:num>
  <w:num w:numId="19">
    <w:abstractNumId w:val="5"/>
  </w:num>
  <w:num w:numId="20">
    <w:abstractNumId w:val="16"/>
  </w:num>
  <w:num w:numId="21">
    <w:abstractNumId w:val="31"/>
  </w:num>
  <w:num w:numId="22">
    <w:abstractNumId w:val="2"/>
  </w:num>
  <w:num w:numId="23">
    <w:abstractNumId w:val="20"/>
  </w:num>
  <w:num w:numId="24">
    <w:abstractNumId w:val="4"/>
  </w:num>
  <w:num w:numId="25">
    <w:abstractNumId w:val="35"/>
  </w:num>
  <w:num w:numId="26">
    <w:abstractNumId w:val="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7"/>
  </w:num>
  <w:num w:numId="30">
    <w:abstractNumId w:val="15"/>
  </w:num>
  <w:num w:numId="31">
    <w:abstractNumId w:val="1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bCs/>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2">
    <w:abstractNumId w:val="9"/>
  </w:num>
  <w:num w:numId="33">
    <w:abstractNumId w:val="30"/>
  </w:num>
  <w:num w:numId="34">
    <w:abstractNumId w:val="1"/>
  </w:num>
  <w:num w:numId="35">
    <w:abstractNumId w:val="27"/>
  </w:num>
  <w:num w:numId="36">
    <w:abstractNumId w:val="7"/>
  </w:num>
  <w:num w:numId="37">
    <w:abstractNumId w:val="36"/>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44B67"/>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6575F"/>
    <w:rsid w:val="001721C5"/>
    <w:rsid w:val="00180F0A"/>
    <w:rsid w:val="00181061"/>
    <w:rsid w:val="00181893"/>
    <w:rsid w:val="00182540"/>
    <w:rsid w:val="00182733"/>
    <w:rsid w:val="00182873"/>
    <w:rsid w:val="00184CB4"/>
    <w:rsid w:val="001853DC"/>
    <w:rsid w:val="00190838"/>
    <w:rsid w:val="00191488"/>
    <w:rsid w:val="00192CD3"/>
    <w:rsid w:val="00194DE2"/>
    <w:rsid w:val="00195804"/>
    <w:rsid w:val="001A10C3"/>
    <w:rsid w:val="001B196E"/>
    <w:rsid w:val="001B33C9"/>
    <w:rsid w:val="001B3B7F"/>
    <w:rsid w:val="001B43D2"/>
    <w:rsid w:val="001B487D"/>
    <w:rsid w:val="001C0737"/>
    <w:rsid w:val="001C194C"/>
    <w:rsid w:val="001C21F9"/>
    <w:rsid w:val="001C45A9"/>
    <w:rsid w:val="001C664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5F7C"/>
    <w:rsid w:val="00236CA6"/>
    <w:rsid w:val="00242E2D"/>
    <w:rsid w:val="00243776"/>
    <w:rsid w:val="002448C1"/>
    <w:rsid w:val="00251053"/>
    <w:rsid w:val="002565D7"/>
    <w:rsid w:val="00256D72"/>
    <w:rsid w:val="0025769B"/>
    <w:rsid w:val="0026012D"/>
    <w:rsid w:val="002605F9"/>
    <w:rsid w:val="00265355"/>
    <w:rsid w:val="00265BFE"/>
    <w:rsid w:val="002677BB"/>
    <w:rsid w:val="0027673E"/>
    <w:rsid w:val="00280352"/>
    <w:rsid w:val="0028105E"/>
    <w:rsid w:val="002836A8"/>
    <w:rsid w:val="00286749"/>
    <w:rsid w:val="0029134E"/>
    <w:rsid w:val="00291D1F"/>
    <w:rsid w:val="002935FA"/>
    <w:rsid w:val="002936AF"/>
    <w:rsid w:val="00295D9E"/>
    <w:rsid w:val="00297F56"/>
    <w:rsid w:val="002A5C6F"/>
    <w:rsid w:val="002A7FDC"/>
    <w:rsid w:val="002B7C64"/>
    <w:rsid w:val="002C001B"/>
    <w:rsid w:val="002C1ADB"/>
    <w:rsid w:val="002C2A26"/>
    <w:rsid w:val="002C2B82"/>
    <w:rsid w:val="002C3ED5"/>
    <w:rsid w:val="002C72F4"/>
    <w:rsid w:val="002C732C"/>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03F0"/>
    <w:rsid w:val="00316E68"/>
    <w:rsid w:val="003216E7"/>
    <w:rsid w:val="0032182A"/>
    <w:rsid w:val="00331AF3"/>
    <w:rsid w:val="00332166"/>
    <w:rsid w:val="00333902"/>
    <w:rsid w:val="00336028"/>
    <w:rsid w:val="003367E8"/>
    <w:rsid w:val="00341FAF"/>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4E98"/>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6C57"/>
    <w:rsid w:val="0061529D"/>
    <w:rsid w:val="00620BD1"/>
    <w:rsid w:val="006236C2"/>
    <w:rsid w:val="006236F8"/>
    <w:rsid w:val="00624491"/>
    <w:rsid w:val="0062457A"/>
    <w:rsid w:val="0063012F"/>
    <w:rsid w:val="0063283F"/>
    <w:rsid w:val="00633A22"/>
    <w:rsid w:val="00636CA9"/>
    <w:rsid w:val="00637591"/>
    <w:rsid w:val="0064109E"/>
    <w:rsid w:val="00643627"/>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97238"/>
    <w:rsid w:val="006A1BCE"/>
    <w:rsid w:val="006A61CA"/>
    <w:rsid w:val="006A703B"/>
    <w:rsid w:val="006B034A"/>
    <w:rsid w:val="006B4DBF"/>
    <w:rsid w:val="006C1332"/>
    <w:rsid w:val="006C4F96"/>
    <w:rsid w:val="006D33BB"/>
    <w:rsid w:val="006D3F4C"/>
    <w:rsid w:val="006D4745"/>
    <w:rsid w:val="006D5B9A"/>
    <w:rsid w:val="006D6B54"/>
    <w:rsid w:val="006D72AF"/>
    <w:rsid w:val="006D7E2F"/>
    <w:rsid w:val="006E6410"/>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3EE2"/>
    <w:rsid w:val="00747CCD"/>
    <w:rsid w:val="007507DE"/>
    <w:rsid w:val="0075232B"/>
    <w:rsid w:val="00752BA6"/>
    <w:rsid w:val="00752F49"/>
    <w:rsid w:val="00761F61"/>
    <w:rsid w:val="0076287D"/>
    <w:rsid w:val="007629E0"/>
    <w:rsid w:val="00776187"/>
    <w:rsid w:val="00776AA6"/>
    <w:rsid w:val="00777BC9"/>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227E"/>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C30EB"/>
    <w:rsid w:val="008C3260"/>
    <w:rsid w:val="008C576C"/>
    <w:rsid w:val="008D1A02"/>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1DC7"/>
    <w:rsid w:val="00AC3A39"/>
    <w:rsid w:val="00AC58C0"/>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3BC2"/>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43E"/>
    <w:rsid w:val="00BC197C"/>
    <w:rsid w:val="00BC438E"/>
    <w:rsid w:val="00BC74E8"/>
    <w:rsid w:val="00BD1A05"/>
    <w:rsid w:val="00BD5E61"/>
    <w:rsid w:val="00BD6062"/>
    <w:rsid w:val="00BD7AF7"/>
    <w:rsid w:val="00BD7FC3"/>
    <w:rsid w:val="00BE1188"/>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CF732C"/>
    <w:rsid w:val="00D0295B"/>
    <w:rsid w:val="00D02F3C"/>
    <w:rsid w:val="00D05475"/>
    <w:rsid w:val="00D06C18"/>
    <w:rsid w:val="00D100D6"/>
    <w:rsid w:val="00D12449"/>
    <w:rsid w:val="00D12843"/>
    <w:rsid w:val="00D12D52"/>
    <w:rsid w:val="00D156B3"/>
    <w:rsid w:val="00D170E7"/>
    <w:rsid w:val="00D2042C"/>
    <w:rsid w:val="00D25393"/>
    <w:rsid w:val="00D32FFC"/>
    <w:rsid w:val="00D3308D"/>
    <w:rsid w:val="00D33F80"/>
    <w:rsid w:val="00D37AF1"/>
    <w:rsid w:val="00D40DC5"/>
    <w:rsid w:val="00D425D3"/>
    <w:rsid w:val="00D44D29"/>
    <w:rsid w:val="00D46E76"/>
    <w:rsid w:val="00D54B3B"/>
    <w:rsid w:val="00D56FF9"/>
    <w:rsid w:val="00D67367"/>
    <w:rsid w:val="00D97B05"/>
    <w:rsid w:val="00DA23FB"/>
    <w:rsid w:val="00DA2536"/>
    <w:rsid w:val="00DA2687"/>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0ACB"/>
    <w:rsid w:val="00E27C2D"/>
    <w:rsid w:val="00E315B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1816"/>
    <w:rsid w:val="00FB275E"/>
    <w:rsid w:val="00FB6370"/>
    <w:rsid w:val="00FB6A6A"/>
    <w:rsid w:val="00FB79A1"/>
    <w:rsid w:val="00FD1173"/>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16EBFA"/>
  <w15:docId w15:val="{F1C11DA7-425F-4C15-9CDB-0FCFE5C6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numbering" w:styleId="111111">
    <w:name w:val="Outline List 2"/>
    <w:basedOn w:val="Sinlista"/>
    <w:rsid w:val="002C732C"/>
    <w:pPr>
      <w:numPr>
        <w:numId w:val="32"/>
      </w:numPr>
    </w:pPr>
  </w:style>
  <w:style w:type="paragraph" w:styleId="Ttulo">
    <w:name w:val="Title"/>
    <w:basedOn w:val="Normal"/>
    <w:link w:val="TtuloCar"/>
    <w:qFormat/>
    <w:locked/>
    <w:rsid w:val="00B13BC2"/>
    <w:pPr>
      <w:jc w:val="center"/>
    </w:pPr>
    <w:rPr>
      <w:rFonts w:eastAsia="Times New Roman"/>
      <w:b/>
      <w:szCs w:val="20"/>
      <w:lang w:val="es-AR" w:eastAsia="es-ES"/>
    </w:rPr>
  </w:style>
  <w:style w:type="character" w:customStyle="1" w:styleId="TtuloCar">
    <w:name w:val="Título Car"/>
    <w:basedOn w:val="Fuentedeprrafopredeter"/>
    <w:link w:val="Ttulo"/>
    <w:qFormat/>
    <w:rsid w:val="00B13BC2"/>
    <w:rPr>
      <w:rFonts w:eastAsia="Times New Roman" w:cs="Times New Roman"/>
      <w:b/>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60738">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0C062A" w:rsidP="000C062A">
          <w:pPr>
            <w:pStyle w:val="40D24299F87D420D8B5C9F3AF252C27F1"/>
          </w:pPr>
          <w:r>
            <w:rPr>
              <w:rStyle w:val="Textodelmarcadordeposicin"/>
            </w:rPr>
            <w:t>…</w:t>
          </w:r>
          <w:r w:rsidRPr="00914BFD">
            <w:rPr>
              <w:rStyle w:val="Textodelmarcadordeposicin"/>
            </w:rPr>
            <w:t>.</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0C062A"/>
    <w:rsid w:val="001015FE"/>
    <w:rsid w:val="00151137"/>
    <w:rsid w:val="00167751"/>
    <w:rsid w:val="00192E0F"/>
    <w:rsid w:val="00222336"/>
    <w:rsid w:val="002739A1"/>
    <w:rsid w:val="003D73DB"/>
    <w:rsid w:val="004931B1"/>
    <w:rsid w:val="006B71D0"/>
    <w:rsid w:val="00734C2A"/>
    <w:rsid w:val="00770B37"/>
    <w:rsid w:val="007D6391"/>
    <w:rsid w:val="00842D1C"/>
    <w:rsid w:val="00854CD5"/>
    <w:rsid w:val="00B25D30"/>
    <w:rsid w:val="00B8647F"/>
    <w:rsid w:val="00C248AF"/>
    <w:rsid w:val="00C73322"/>
    <w:rsid w:val="00CE5E74"/>
    <w:rsid w:val="00D35D66"/>
    <w:rsid w:val="00D50E31"/>
    <w:rsid w:val="00D551FB"/>
    <w:rsid w:val="00D62F37"/>
    <w:rsid w:val="00DC4C17"/>
    <w:rsid w:val="00DC5A19"/>
    <w:rsid w:val="00E97EB6"/>
    <w:rsid w:val="00F01EC5"/>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15AFE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062A"/>
    <w:rPr>
      <w:color w:val="808080"/>
    </w:rPr>
  </w:style>
  <w:style w:type="paragraph" w:customStyle="1" w:styleId="6C58E4A028A94C77A2A93FD0E484A85F">
    <w:name w:val="6C58E4A028A94C77A2A93FD0E484A85F"/>
    <w:rsid w:val="00C248AF"/>
  </w:style>
  <w:style w:type="paragraph" w:customStyle="1" w:styleId="4E6DB9636CF647FB81C493EA313EE44C">
    <w:name w:val="4E6DB9636CF647FB81C493EA313EE44C"/>
    <w:rsid w:val="007D6391"/>
  </w:style>
  <w:style w:type="paragraph" w:customStyle="1" w:styleId="40D24299F87D420D8B5C9F3AF252C27F1">
    <w:name w:val="40D24299F87D420D8B5C9F3AF252C27F1"/>
    <w:rsid w:val="000C062A"/>
    <w:pPr>
      <w:spacing w:after="0" w:line="240" w:lineRule="auto"/>
      <w:jc w:val="both"/>
    </w:pPr>
    <w:rPr>
      <w:rFonts w:ascii="Arial" w:eastAsia="Calibri" w:hAnsi="Arial"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7B9960CA82F34BB0E969508EBE7D62" ma:contentTypeVersion="" ma:contentTypeDescription="Crear nuevo documento." ma:contentTypeScope="" ma:versionID="508216f02e7bbf5a1cc8db9658e15fd9">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3D84-20E2-45D3-82D5-6E7F94D1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3B986D-BE2B-4AB4-AF85-0068697B779A}">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13E73E06-7A5A-4AF8-8D14-C148BCF9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3191</Characters>
  <Application>Microsoft Office Word</Application>
  <DocSecurity>0</DocSecurity>
  <Lines>127</Lines>
  <Paragraphs>44</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2</cp:revision>
  <cp:lastPrinted>2017-07-25T19:06:00Z</cp:lastPrinted>
  <dcterms:created xsi:type="dcterms:W3CDTF">2024-04-12T15:45:00Z</dcterms:created>
  <dcterms:modified xsi:type="dcterms:W3CDTF">2024-04-12T15:45:00Z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0x0101007C7B9960CA82F34BB0E969508EBE7D62</vt:lpwstr>
  </property>
  <property fmtid="{D5CDD505-2E9C-101B-9397-08002B2CF9AE}" pid="3" name="GrammarlyDocumentId">
    <vt:lpwstr>c73ee74ddd626777334be2918cc3bbaa155d4919b26290578e762856d407750a</vt:lpwstr>
  </property>
</Properties>
</file>