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bookmarkStart w:id="0" w:name="_GoBack"/>
            <w:bookmarkEnd w:id="0"/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4217A8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Verificación de Compras y Contrataciones, Ley N° 2095, periodo 2022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77777777" w:rsidR="00F01E84" w:rsidRDefault="00F01E84" w:rsidP="00073ADE">
            <w:pPr>
              <w:jc w:val="left"/>
            </w:pPr>
          </w:p>
          <w:p w14:paraId="4B5DA20B" w14:textId="4E3ACC09" w:rsidR="00F01E84" w:rsidRDefault="0041123E" w:rsidP="00073ADE">
            <w:pPr>
              <w:jc w:val="left"/>
            </w:pPr>
            <w:r>
              <w:t>1 de enero de 2022 a 31 de diciembre de 2022</w:t>
            </w: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7D5A5FAE" w14:textId="77777777" w:rsid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Constitución de la Ciudad Autónoma de Buenos Aires.</w:t>
            </w:r>
          </w:p>
          <w:p w14:paraId="0F1586D5" w14:textId="69581582" w:rsid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lang w:val="es-AR" w:eastAsia="es-ES"/>
              </w:rPr>
            </w:pPr>
            <w:proofErr w:type="gramStart"/>
            <w:r>
              <w:rPr>
                <w:rFonts w:cs="Arial"/>
                <w:lang w:val="es-AR" w:eastAsia="es-ES"/>
              </w:rPr>
              <w:t>Ley Nº</w:t>
            </w:r>
            <w:proofErr w:type="gramEnd"/>
            <w:r>
              <w:rPr>
                <w:rFonts w:cs="Arial"/>
                <w:lang w:val="es-AR" w:eastAsia="es-ES"/>
              </w:rPr>
              <w:t xml:space="preserve"> 70</w:t>
            </w:r>
          </w:p>
          <w:p w14:paraId="733E15AF" w14:textId="289A5CD8" w:rsid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firstLine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N° 2.095</w:t>
            </w:r>
          </w:p>
          <w:p w14:paraId="47E24D27" w14:textId="595272B6" w:rsid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Ley N° 6.292</w:t>
            </w:r>
          </w:p>
          <w:p w14:paraId="4B07A53B" w14:textId="58890DDF" w:rsid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left"/>
              <w:rPr>
                <w:rFonts w:cs="Arial"/>
                <w:lang w:val="es-AR" w:eastAsia="es-ES"/>
              </w:rPr>
            </w:pPr>
            <w:r>
              <w:rPr>
                <w:rFonts w:cs="Arial"/>
                <w:lang w:val="es-AR" w:eastAsia="es-ES"/>
              </w:rPr>
              <w:t>Decreto N° 74/21</w:t>
            </w:r>
          </w:p>
          <w:p w14:paraId="32CC7959" w14:textId="4A3C0C8A" w:rsidR="0041123E" w:rsidRPr="0041123E" w:rsidRDefault="0041123E" w:rsidP="0041123E">
            <w:pPr>
              <w:pStyle w:val="Prrafodelista"/>
              <w:numPr>
                <w:ilvl w:val="0"/>
                <w:numId w:val="31"/>
              </w:numPr>
              <w:tabs>
                <w:tab w:val="left" w:pos="176"/>
              </w:tabs>
              <w:ind w:left="210" w:hanging="210"/>
              <w:jc w:val="lef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Decreto N° 463/19 y modificatorios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E610DF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14BE6E16" w14:textId="6C22BF8E" w:rsidR="0041123E" w:rsidRDefault="0041123E" w:rsidP="0041123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Jaccoud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Girart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>, Patricio Ezequiel</w:t>
            </w:r>
          </w:p>
          <w:p w14:paraId="6891FC22" w14:textId="77777777" w:rsidR="0041123E" w:rsidRDefault="0041123E" w:rsidP="0041123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Marchetto, Maria Florencia</w:t>
            </w: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003/23</w:t>
                </w:r>
              </w:sdtContent>
            </w:sdt>
          </w:p>
          <w:p w14:paraId="7316EC05" w14:textId="2730B75D" w:rsidR="00F01E84" w:rsidRDefault="004217A8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4217A8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541F572F" w:rsidR="00F01E84" w:rsidRDefault="004217A8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F01E84" w:rsidP="00F34E95">
                <w:pPr>
                  <w:spacing w:before="20"/>
                  <w:rPr>
                    <w:b/>
                  </w:rPr>
                </w:pPr>
                <w:r>
                  <w:rPr>
                    <w:b/>
                  </w:rPr>
                  <w:t>Dirección General Técnica, Administrativa y Legal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382C3C5A" w14:textId="198C1E89" w:rsidR="0041123E" w:rsidRDefault="00B00D6C" w:rsidP="0041123E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4142396" w14:textId="0C66258E" w:rsidR="0041123E" w:rsidRDefault="0041123E" w:rsidP="0041123E">
            <w:pPr>
              <w:pStyle w:val="Prrafo"/>
              <w:spacing w:after="120"/>
            </w:pPr>
            <w:r>
              <w:rPr>
                <w:szCs w:val="22"/>
                <w:lang w:eastAsia="en-US"/>
              </w:rPr>
              <w:t>Las tareas de auditoría se llevaron a cabo en las oficinas de</w:t>
            </w:r>
            <w:r>
              <w:rPr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Dirección General Técnica, Administrativa y Legal </w:t>
            </w:r>
            <w:r>
              <w:rPr>
                <w:szCs w:val="22"/>
                <w:shd w:val="clear" w:color="auto" w:fill="FFFFFF" w:themeFill="background1"/>
                <w:lang w:eastAsia="en-US"/>
              </w:rPr>
              <w:t>(en adelante DGTAL),</w:t>
            </w:r>
            <w:r>
              <w:rPr>
                <w:szCs w:val="22"/>
                <w:lang w:eastAsia="en-US"/>
              </w:rPr>
              <w:t xml:space="preserve"> y en las de esta Unidad de Auditoría, ambas sitas en Martín García N° 346</w:t>
            </w:r>
            <w:r>
              <w:rPr>
                <w:sz w:val="23"/>
                <w:szCs w:val="23"/>
                <w:lang w:eastAsia="en-US"/>
              </w:rPr>
              <w:t>, 2do. Piso, CABA</w:t>
            </w:r>
            <w:r>
              <w:rPr>
                <w:szCs w:val="22"/>
                <w:lang w:eastAsia="en-US"/>
              </w:rPr>
              <w:t xml:space="preserve">, habiéndose dado inicio a las mismas el día </w:t>
            </w:r>
            <w:r w:rsidR="00AF03DD">
              <w:rPr>
                <w:szCs w:val="22"/>
                <w:shd w:val="clear" w:color="auto" w:fill="FFFFFF" w:themeFill="background1"/>
                <w:lang w:eastAsia="en-US"/>
              </w:rPr>
              <w:t>9 de enero de 2023 y finalizado el día 11 de abril</w:t>
            </w:r>
            <w:r>
              <w:rPr>
                <w:szCs w:val="22"/>
                <w:lang w:eastAsia="en-US"/>
              </w:rPr>
              <w:t xml:space="preserve"> del mismo año. </w:t>
            </w:r>
            <w:r>
              <w:t xml:space="preserve"> </w:t>
            </w:r>
          </w:p>
          <w:p w14:paraId="63A5F1A1" w14:textId="77777777" w:rsidR="0041123E" w:rsidRDefault="0041123E" w:rsidP="0041123E">
            <w:pPr>
              <w:pStyle w:val="Prrafo"/>
              <w:spacing w:after="120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Principales procedimientos aplicados:</w:t>
            </w:r>
          </w:p>
          <w:p w14:paraId="06A4531E" w14:textId="06D743D2" w:rsidR="0041123E" w:rsidRPr="00936A25" w:rsidRDefault="0041123E" w:rsidP="00936A25">
            <w:pPr>
              <w:pStyle w:val="Prrafo"/>
              <w:numPr>
                <w:ilvl w:val="0"/>
                <w:numId w:val="32"/>
              </w:numPr>
              <w:spacing w:after="120"/>
              <w:rPr>
                <w:b/>
                <w:szCs w:val="22"/>
                <w:lang w:eastAsia="en-US"/>
              </w:rPr>
            </w:pPr>
            <w:r>
              <w:rPr>
                <w:rFonts w:eastAsia="Arial"/>
                <w:color w:val="000000"/>
                <w:szCs w:val="22"/>
              </w:rPr>
              <w:t>Estudio y análisis de la normativa vigente relacionada con el objeto de auditoría.</w:t>
            </w:r>
          </w:p>
          <w:p w14:paraId="691566DC" w14:textId="10F112BA" w:rsidR="0041123E" w:rsidRDefault="0041123E" w:rsidP="0041123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Solicitud de toda la documentación y/o info</w:t>
            </w:r>
            <w:r w:rsidR="00936A25">
              <w:rPr>
                <w:rFonts w:cs="Arial"/>
              </w:rPr>
              <w:t xml:space="preserve">rmación relacionada con las compras y contrataciones </w:t>
            </w:r>
            <w:r w:rsidR="00936A25" w:rsidRPr="00960511">
              <w:rPr>
                <w:rFonts w:cs="Arial"/>
              </w:rPr>
              <w:t>efectuadas (iniciadas y/o en proceso) en el marco de la Ley N° 2.095 durante el 1 de enero de 2022 y el 31 de diciembre de 2022</w:t>
            </w:r>
            <w:r w:rsidR="00936A25">
              <w:rPr>
                <w:rFonts w:cs="Arial"/>
              </w:rPr>
              <w:t>.</w:t>
            </w:r>
          </w:p>
          <w:p w14:paraId="7517F244" w14:textId="77777777" w:rsidR="0041123E" w:rsidRDefault="0041123E" w:rsidP="0041123E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>
              <w:rPr>
                <w:rFonts w:cs="Arial"/>
              </w:rPr>
              <w:t>Relevamiento y análisis de toda la documentación e información remitida por el organismo auditado en relación con el objeto de auditoría.</w:t>
            </w:r>
          </w:p>
          <w:p w14:paraId="032F844C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1D1ADC5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5F385D0" w14:textId="77777777" w:rsidR="00F01E84" w:rsidRDefault="00F01E84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969B75F" w14:textId="77777777" w:rsidR="00EE2BEC" w:rsidRDefault="00EE2BEC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DACA321" w14:textId="0C0CB701" w:rsidR="00936A25" w:rsidRPr="000235FE" w:rsidRDefault="00C649F0" w:rsidP="00936A2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lang w:val="es-MX"/>
              </w:rPr>
              <w:t xml:space="preserve">No se verificó la </w:t>
            </w:r>
            <w:r w:rsidR="00936A25">
              <w:rPr>
                <w:rFonts w:cs="Arial"/>
                <w:lang w:val="es-MX"/>
              </w:rPr>
              <w:t>incorporación de los Parte de Recepción Definitiva (PRD), oportunamente identificados, en los respectivos expedientes electrónicos; el incumplimiento de determinados requisitos</w:t>
            </w:r>
            <w:r w:rsidR="00E11E9F">
              <w:rPr>
                <w:rFonts w:cs="Arial"/>
                <w:lang w:val="es-MX"/>
              </w:rPr>
              <w:t xml:space="preserve"> fiscales</w:t>
            </w:r>
            <w:r w:rsidR="00936A25">
              <w:rPr>
                <w:rFonts w:cs="Arial"/>
                <w:lang w:val="es-MX"/>
              </w:rPr>
              <w:t xml:space="preserve"> en la confección de los remitos po</w:t>
            </w:r>
            <w:r>
              <w:rPr>
                <w:rFonts w:cs="Arial"/>
                <w:lang w:val="es-MX"/>
              </w:rPr>
              <w:t xml:space="preserve">r parte de los proveedores; tampoco se verificó en la Orden de </w:t>
            </w:r>
            <w:proofErr w:type="spellStart"/>
            <w:r w:rsidR="00E11E9F">
              <w:rPr>
                <w:rFonts w:cs="Arial"/>
                <w:lang w:val="es-MX"/>
              </w:rPr>
              <w:t>Provision</w:t>
            </w:r>
            <w:proofErr w:type="spellEnd"/>
            <w:r w:rsidR="00E11E9F">
              <w:rPr>
                <w:rFonts w:cs="Arial"/>
                <w:lang w:val="es-MX"/>
              </w:rPr>
              <w:t xml:space="preserve"> de </w:t>
            </w:r>
            <w:r>
              <w:rPr>
                <w:rFonts w:cs="Arial"/>
                <w:lang w:val="es-MX"/>
              </w:rPr>
              <w:t>Servicio</w:t>
            </w:r>
            <w:r w:rsidR="00E11E9F">
              <w:rPr>
                <w:rFonts w:cs="Arial"/>
                <w:lang w:val="es-MX"/>
              </w:rPr>
              <w:t>s</w:t>
            </w:r>
            <w:r>
              <w:rPr>
                <w:rFonts w:cs="Arial"/>
                <w:lang w:val="es-MX"/>
              </w:rPr>
              <w:t xml:space="preserve"> la falta </w:t>
            </w:r>
            <w:r w:rsidR="00936A25">
              <w:rPr>
                <w:rFonts w:cs="Arial"/>
                <w:lang w:val="es-MX"/>
              </w:rPr>
              <w:t xml:space="preserve">de determinación </w:t>
            </w:r>
            <w:r>
              <w:t>de los lugares</w:t>
            </w:r>
            <w:r w:rsidR="00303C8E">
              <w:t xml:space="preserve"> en los cuales debe </w:t>
            </w:r>
            <w:proofErr w:type="spellStart"/>
            <w:r w:rsidR="00303C8E">
              <w:t>hacerese</w:t>
            </w:r>
            <w:proofErr w:type="spellEnd"/>
            <w:r w:rsidR="00303C8E">
              <w:t xml:space="preserve"> efectivo </w:t>
            </w:r>
            <w:r w:rsidR="00936A25">
              <w:t>el servicio de cambio integr</w:t>
            </w:r>
            <w:r>
              <w:t>al de cortina</w:t>
            </w:r>
            <w:r w:rsidR="00936A25">
              <w:t>.</w:t>
            </w:r>
          </w:p>
          <w:p w14:paraId="02FAF2A6" w14:textId="77777777" w:rsidR="00936A25" w:rsidRDefault="00936A25" w:rsidP="00936A2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7D0099" w14:textId="217C4B16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1FA97A53" w14:textId="77777777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1C10730" w:rsidR="00B00D6C" w:rsidRDefault="004217A8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936A25">
                  <w:t>Emitió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6B04179" w14:textId="77777777" w:rsidR="00B00D6C" w:rsidRDefault="00B00D6C" w:rsidP="00956DC8">
            <w:pPr>
              <w:rPr>
                <w:b/>
              </w:rPr>
            </w:pPr>
          </w:p>
          <w:p w14:paraId="62CCB5B7" w14:textId="77777777" w:rsidR="00B00D6C" w:rsidRDefault="00B00D6C" w:rsidP="00956DC8">
            <w:pPr>
              <w:rPr>
                <w:b/>
              </w:rPr>
            </w:pPr>
          </w:p>
          <w:p w14:paraId="76A1225D" w14:textId="77777777" w:rsidR="00B00D6C" w:rsidRDefault="00B00D6C" w:rsidP="00956DC8">
            <w:pPr>
              <w:rPr>
                <w:b/>
              </w:rPr>
            </w:pPr>
          </w:p>
          <w:p w14:paraId="1EB03DB4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9EC2C5B" w14:textId="213F86BA" w:rsidR="00936A25" w:rsidRDefault="00936A25" w:rsidP="00936A25">
            <w:pPr>
              <w:spacing w:after="120"/>
            </w:pPr>
            <w:r>
              <w:t>En virtud de las tareas llevadas a cabo por esta Unidad de Auditoría Interna en la Dirección General Técnica, Administrativa y Legal, dependiente del Ministerio de Desarrollo Económico y Producción, en relación al objeto del presente informe</w:t>
            </w:r>
            <w:r w:rsidR="00E11E9F">
              <w:t xml:space="preserve"> no</w:t>
            </w:r>
            <w:r w:rsidR="00E11E9F">
              <w:rPr>
                <w:rFonts w:cs="Arial"/>
                <w:lang w:val="es-MX"/>
              </w:rPr>
              <w:t xml:space="preserve"> se verificó la</w:t>
            </w:r>
            <w:r>
              <w:rPr>
                <w:rFonts w:cs="Arial"/>
                <w:lang w:val="es-MX"/>
              </w:rPr>
              <w:t xml:space="preserve"> incorporación de los Parte de Recepción Definitiva (PRD), oportunamente identificados, en los respectivos expedientes electrónicos; el incumplimiento de determinados requisitos</w:t>
            </w:r>
            <w:r w:rsidR="00E11E9F">
              <w:rPr>
                <w:rFonts w:cs="Arial"/>
                <w:lang w:val="es-MX"/>
              </w:rPr>
              <w:t xml:space="preserve"> fiscales</w:t>
            </w:r>
            <w:r>
              <w:rPr>
                <w:rFonts w:cs="Arial"/>
                <w:lang w:val="es-MX"/>
              </w:rPr>
              <w:t xml:space="preserve"> en la confección de los remitos por </w:t>
            </w:r>
            <w:r w:rsidR="00C649F0">
              <w:rPr>
                <w:rFonts w:cs="Arial"/>
                <w:lang w:val="es-MX"/>
              </w:rPr>
              <w:t xml:space="preserve">parte de los proveedores; tampoco se verificó en la Orden de Servicio la falta de determinación </w:t>
            </w:r>
            <w:r w:rsidR="00C649F0">
              <w:t xml:space="preserve">de los lugares en los cuales debe </w:t>
            </w:r>
            <w:proofErr w:type="spellStart"/>
            <w:r w:rsidR="00C649F0">
              <w:t>hacerese</w:t>
            </w:r>
            <w:proofErr w:type="spellEnd"/>
            <w:r w:rsidR="00C649F0">
              <w:t xml:space="preserve"> efectivo el servicio de cambio integral de cortinas.</w:t>
            </w:r>
            <w:r w:rsidR="00C649F0">
              <w:rPr>
                <w:rFonts w:cs="Arial"/>
                <w:lang w:val="es-MX"/>
              </w:rPr>
              <w:t xml:space="preserve">  </w:t>
            </w:r>
            <w:r>
              <w:t xml:space="preserve">  </w:t>
            </w:r>
          </w:p>
          <w:p w14:paraId="546E79DF" w14:textId="47AFB812" w:rsidR="00936A25" w:rsidRPr="00ED0033" w:rsidRDefault="00936A25" w:rsidP="00936A25">
            <w:pPr>
              <w:spacing w:after="120"/>
              <w:rPr>
                <w:rFonts w:cs="Arial"/>
              </w:rPr>
            </w:pPr>
            <w:r>
              <w:t xml:space="preserve">Al respecto se recomienda al organismo auditado instruir a los organismos y/o áreas </w:t>
            </w:r>
            <w:proofErr w:type="spellStart"/>
            <w:r>
              <w:t>compentenes</w:t>
            </w:r>
            <w:proofErr w:type="spellEnd"/>
            <w:r>
              <w:t xml:space="preserve"> a los fines de hacer cumplir a los proveedores la normativa </w:t>
            </w:r>
            <w:proofErr w:type="spellStart"/>
            <w:r>
              <w:t>Afip</w:t>
            </w:r>
            <w:proofErr w:type="spellEnd"/>
            <w:r>
              <w:t xml:space="preserve">, en el caso Resolución N° 1415/03, la cual resulta obligatoria, en lo que hace a </w:t>
            </w:r>
            <w:proofErr w:type="spellStart"/>
            <w:r>
              <w:t>lor</w:t>
            </w:r>
            <w:proofErr w:type="spellEnd"/>
            <w:r>
              <w:t xml:space="preserve"> remitos que presenten, asimismo, </w:t>
            </w:r>
            <w:proofErr w:type="spellStart"/>
            <w:r>
              <w:t>intruirlos</w:t>
            </w:r>
            <w:proofErr w:type="spellEnd"/>
            <w:r>
              <w:t xml:space="preserve"> a los fines de que vinculen a los </w:t>
            </w:r>
            <w:proofErr w:type="gramStart"/>
            <w:r>
              <w:t>expediente electrónicos</w:t>
            </w:r>
            <w:proofErr w:type="gramEnd"/>
            <w:r>
              <w:t xml:space="preserve"> los Parte de Recepción Definitiva (PRD). Por otra parte, también se recomienda al organismo auditado </w:t>
            </w:r>
            <w:r w:rsidR="00E11E9F">
              <w:t xml:space="preserve">instruir al área ejecutora a </w:t>
            </w:r>
            <w:r>
              <w:t>incorporar a las Ordenes de</w:t>
            </w:r>
            <w:r w:rsidR="00C649F0">
              <w:t xml:space="preserve"> Provisión el listado de los lugares </w:t>
            </w:r>
            <w:r>
              <w:t>donde se deben ins</w:t>
            </w:r>
            <w:r w:rsidR="00C649F0">
              <w:t>talar las cortinas, en relación con</w:t>
            </w:r>
            <w:r>
              <w:t xml:space="preserve"> la </w:t>
            </w:r>
            <w:proofErr w:type="spellStart"/>
            <w:proofErr w:type="gramStart"/>
            <w:r>
              <w:t>contratacion</w:t>
            </w:r>
            <w:proofErr w:type="spellEnd"/>
            <w:r>
              <w:t xml:space="preserve">  del</w:t>
            </w:r>
            <w:proofErr w:type="gramEnd"/>
            <w:r>
              <w:t xml:space="preserve"> servicio de cambio integral de cortinado en los comercios de los ejes comerciales de CABA.     </w:t>
            </w:r>
          </w:p>
          <w:p w14:paraId="4FE73BD3" w14:textId="72225B00" w:rsidR="00936A25" w:rsidRPr="000235FE" w:rsidRDefault="00936A25" w:rsidP="00936A2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4EEE41E" w14:textId="77777777" w:rsidR="00936A25" w:rsidRDefault="00936A25" w:rsidP="00936A25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294DC736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default" r:id="rId13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FE77EF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D0A860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C5B7AD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335A5D1" w14:textId="77777777" w:rsidR="00093E39" w:rsidRDefault="00093E39" w:rsidP="00093E39">
    <w:pPr>
      <w:jc w:val="center"/>
      <w:rPr>
        <w:rFonts w:cs="Arial"/>
        <w:b/>
        <w:sz w:val="28"/>
        <w:szCs w:val="28"/>
      </w:rPr>
    </w:pPr>
    <w:r>
      <w:rPr>
        <w:i/>
        <w:sz w:val="20"/>
      </w:rPr>
      <w:t>“1983-2023. 40 años de Democracia”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E16E2"/>
    <w:multiLevelType w:val="hybridMultilevel"/>
    <w:tmpl w:val="04FA2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71A8"/>
    <w:multiLevelType w:val="hybridMultilevel"/>
    <w:tmpl w:val="1A243D8C"/>
    <w:lvl w:ilvl="0" w:tplc="2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6"/>
  </w:num>
  <w:num w:numId="5">
    <w:abstractNumId w:val="27"/>
  </w:num>
  <w:num w:numId="6">
    <w:abstractNumId w:val="11"/>
  </w:num>
  <w:num w:numId="7">
    <w:abstractNumId w:val="22"/>
  </w:num>
  <w:num w:numId="8">
    <w:abstractNumId w:val="2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8"/>
  </w:num>
  <w:num w:numId="19">
    <w:abstractNumId w:val="4"/>
  </w:num>
  <w:num w:numId="20">
    <w:abstractNumId w:val="13"/>
  </w:num>
  <w:num w:numId="21">
    <w:abstractNumId w:val="25"/>
  </w:num>
  <w:num w:numId="22">
    <w:abstractNumId w:val="1"/>
  </w:num>
  <w:num w:numId="23">
    <w:abstractNumId w:val="15"/>
  </w:num>
  <w:num w:numId="24">
    <w:abstractNumId w:val="3"/>
  </w:num>
  <w:num w:numId="25">
    <w:abstractNumId w:val="29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0"/>
  </w:num>
  <w:num w:numId="30">
    <w:abstractNumId w:val="12"/>
  </w:num>
  <w:num w:numId="31">
    <w:abstractNumId w:val="31"/>
  </w:num>
  <w:num w:numId="3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3E39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3C8E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123E"/>
    <w:rsid w:val="00413966"/>
    <w:rsid w:val="00417A36"/>
    <w:rsid w:val="004206BD"/>
    <w:rsid w:val="004217A8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36A2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03DD"/>
    <w:rsid w:val="00AF27BE"/>
    <w:rsid w:val="00AF3600"/>
    <w:rsid w:val="00AF5AA1"/>
    <w:rsid w:val="00AF6675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998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9F0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1E9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character" w:customStyle="1" w:styleId="PrrafoCar">
    <w:name w:val="Pàrrafo Car"/>
    <w:basedOn w:val="Fuentedeprrafopredeter"/>
    <w:link w:val="Prrafo"/>
    <w:locked/>
    <w:rsid w:val="0041123E"/>
    <w:rPr>
      <w:szCs w:val="24"/>
      <w:lang w:val="es-AR"/>
    </w:rPr>
  </w:style>
  <w:style w:type="paragraph" w:customStyle="1" w:styleId="Prrafo">
    <w:name w:val="Pàrrafo"/>
    <w:basedOn w:val="Normal"/>
    <w:link w:val="PrrafoCar"/>
    <w:qFormat/>
    <w:rsid w:val="0041123E"/>
    <w:rPr>
      <w:rFonts w:cs="Arial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986D-BE2B-4AB4-AF85-0068697B779A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CAF318-EF1A-4C93-A47A-FF4B5EBD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40D2E-5D49-4B1F-A98D-775A20B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Maria Florencia Marchetto</cp:lastModifiedBy>
  <cp:revision>2</cp:revision>
  <cp:lastPrinted>2017-07-25T19:06:00Z</cp:lastPrinted>
  <dcterms:created xsi:type="dcterms:W3CDTF">2023-05-04T15:55:00Z</dcterms:created>
  <dcterms:modified xsi:type="dcterms:W3CDTF">2023-05-04T15:55:00Z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  <property fmtid="{D5CDD505-2E9C-101B-9397-08002B2CF9AE}" pid="3" name="GrammarlyDocumentId">
    <vt:lpwstr>9c5388c1f704825f2c1e8d5e969721b68962398ed5b5e634215bceb344ce6aca</vt:lpwstr>
  </property>
</Properties>
</file>