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6AA25C53" w:rsidR="00F01E84" w:rsidRDefault="00D003D7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 xml:space="preserve">Verificar el cumplimiento de las responsabilidades primarias y la </w:t>
                </w:r>
                <w:proofErr w:type="spellStart"/>
                <w:r w:rsidR="00F01E84">
                  <w:t>Ejecucion</w:t>
                </w:r>
                <w:proofErr w:type="spellEnd"/>
                <w:r w:rsidR="00F01E84">
                  <w:t xml:space="preserve"> de las facultades conferidas por la Ley N° 3.396 y su reglamentación.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45920E94" w:rsidR="00F01E84" w:rsidRDefault="009C2FDC" w:rsidP="00073ADE">
            <w:pPr>
              <w:jc w:val="left"/>
            </w:pPr>
            <w:r>
              <w:t>01/01/2021 a 31/12/2021</w:t>
            </w: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2E1F7AB7" w14:textId="77777777" w:rsidR="009C2FDC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Constitución de la Ciudad Autónoma de Buenos Aires.</w:t>
            </w:r>
          </w:p>
          <w:p w14:paraId="1E4B261B" w14:textId="3D78D8C9" w:rsidR="009C2FDC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Nº 70</w:t>
            </w:r>
          </w:p>
          <w:p w14:paraId="08B37E8C" w14:textId="5FCE491A" w:rsidR="009C2FDC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N° 324</w:t>
            </w:r>
          </w:p>
          <w:p w14:paraId="07D75346" w14:textId="54B0D0E8" w:rsidR="009C2FDC" w:rsidRPr="006E1164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Nº 3.396</w:t>
            </w:r>
          </w:p>
          <w:p w14:paraId="690A7FF2" w14:textId="77777777" w:rsidR="009C2FDC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N° 6.292</w:t>
            </w:r>
          </w:p>
          <w:p w14:paraId="52DB64DE" w14:textId="77777777" w:rsidR="009C2FDC" w:rsidRPr="00927519" w:rsidRDefault="009C2FDC" w:rsidP="009C2FDC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jc w:val="left"/>
              <w:rPr>
                <w:rFonts w:cs="Arial"/>
                <w:color w:val="000000"/>
                <w:shd w:val="clear" w:color="auto" w:fill="FFFFFF"/>
              </w:rPr>
            </w:pPr>
            <w:r w:rsidRPr="00927519">
              <w:rPr>
                <w:rFonts w:cs="Arial"/>
                <w:color w:val="000000"/>
                <w:shd w:val="clear" w:color="auto" w:fill="FFFFFF"/>
              </w:rPr>
              <w:t>Decreto N° 463/19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1DE267D" w14:textId="77777777" w:rsidR="004A05F3" w:rsidRDefault="004A05F3" w:rsidP="004A05F3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Dr. Patricio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Jaccoud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Girart</w:t>
            </w:r>
            <w:proofErr w:type="spellEnd"/>
          </w:p>
          <w:p w14:paraId="16EF9AA0" w14:textId="24AB5D9B" w:rsidR="004A05F3" w:rsidRDefault="004A05F3" w:rsidP="004A05F3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Dra. Andrea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Turris</w:t>
            </w:r>
            <w:proofErr w:type="spellEnd"/>
          </w:p>
          <w:p w14:paraId="22777CF4" w14:textId="77777777" w:rsidR="004A05F3" w:rsidRDefault="004A05F3" w:rsidP="004A05F3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Dra. María Florencia Marchetto</w:t>
            </w:r>
          </w:p>
          <w:p w14:paraId="5D015390" w14:textId="77777777" w:rsidR="004A05F3" w:rsidRDefault="004A05F3" w:rsidP="004A05F3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006/22</w:t>
                </w:r>
              </w:sdtContent>
            </w:sdt>
          </w:p>
          <w:p w14:paraId="7316EC05" w14:textId="2730B75D" w:rsidR="00F01E84" w:rsidRDefault="00D003D7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6" w14:textId="197CEAB3" w:rsidR="00F01E84" w:rsidRDefault="00077E18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7" w14:textId="684495FD" w:rsidR="00F01E84" w:rsidRDefault="00077E18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F01E84" w:rsidP="00F34E95">
                <w:pPr>
                  <w:spacing w:before="20"/>
                  <w:rPr>
                    <w:b/>
                  </w:rPr>
                </w:pPr>
                <w:r>
                  <w:rPr>
                    <w:b/>
                  </w:rPr>
                  <w:t>F/N Unidad Ejecutora para la Renovación Urbana de la Traza de la Ex AU3 - Ley N°3.396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EB42325" w14:textId="43A12E60" w:rsidR="004A05F3" w:rsidRDefault="004A05F3" w:rsidP="004A05F3">
            <w:pPr>
              <w:pStyle w:val="Prrafo"/>
              <w:spacing w:after="120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5140D6">
              <w:rPr>
                <w:rFonts w:eastAsia="Calibri"/>
                <w:sz w:val="22"/>
                <w:szCs w:val="22"/>
                <w:lang w:val="es-ES" w:eastAsia="en-US"/>
              </w:rPr>
              <w:t xml:space="preserve">Las tareas de auditoría se llevaron 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>a cabo en la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 xml:space="preserve">oficina de </w:t>
            </w:r>
            <w:r w:rsidRPr="005140D6">
              <w:rPr>
                <w:rFonts w:eastAsia="Calibri"/>
                <w:sz w:val="22"/>
                <w:szCs w:val="22"/>
                <w:lang w:val="es-ES" w:eastAsia="en-US"/>
              </w:rPr>
              <w:t>esta Unidad d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>e Auditoría Interna, sita</w:t>
            </w:r>
            <w:r w:rsidRPr="005140D6">
              <w:rPr>
                <w:rFonts w:eastAsia="Calibri"/>
                <w:sz w:val="22"/>
                <w:szCs w:val="22"/>
                <w:lang w:val="es-ES" w:eastAsia="en-US"/>
              </w:rPr>
              <w:t xml:space="preserve"> en Martín García N° 346, 2do. Piso, CABA, habiéndose dado 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 xml:space="preserve">inicio a las mismas el día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3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>1 de marzo</w:t>
            </w:r>
            <w:r w:rsidRPr="005140D6">
              <w:rPr>
                <w:rFonts w:eastAsia="Calibri"/>
                <w:sz w:val="22"/>
                <w:szCs w:val="22"/>
                <w:lang w:val="es-ES" w:eastAsia="en-US"/>
              </w:rPr>
              <w:t xml:space="preserve"> y finalizad</w:t>
            </w:r>
            <w:r w:rsidR="00077E18">
              <w:rPr>
                <w:rFonts w:eastAsia="Calibri"/>
                <w:sz w:val="22"/>
                <w:szCs w:val="22"/>
                <w:lang w:val="es-ES" w:eastAsia="en-US"/>
              </w:rPr>
              <w:t>o el día 6 de julio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del 2022</w:t>
            </w:r>
            <w:r w:rsidRPr="005140D6">
              <w:rPr>
                <w:rFonts w:eastAsia="Calibri"/>
                <w:sz w:val="22"/>
                <w:szCs w:val="22"/>
                <w:lang w:val="es-ES" w:eastAsia="en-US"/>
              </w:rPr>
              <w:t xml:space="preserve"> </w:t>
            </w:r>
          </w:p>
          <w:p w14:paraId="2FB50474" w14:textId="77777777" w:rsidR="004A05F3" w:rsidRDefault="004A05F3" w:rsidP="004A05F3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E78B0F4" w14:textId="77777777" w:rsidR="004A05F3" w:rsidRDefault="004A05F3" w:rsidP="004A05F3">
            <w:pPr>
              <w:pStyle w:val="Prrafo"/>
              <w:spacing w:after="120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  <w:r w:rsidRPr="005140D6">
              <w:rPr>
                <w:rFonts w:eastAsia="Calibri"/>
                <w:b/>
                <w:sz w:val="22"/>
                <w:szCs w:val="22"/>
                <w:lang w:val="es-ES" w:eastAsia="en-US"/>
              </w:rPr>
              <w:t>Principales procedimientos aplicados</w:t>
            </w:r>
          </w:p>
          <w:p w14:paraId="0729602E" w14:textId="77777777" w:rsidR="004A05F3" w:rsidRDefault="004A05F3" w:rsidP="004A05F3">
            <w:pPr>
              <w:rPr>
                <w:b/>
                <w:color w:val="000000"/>
                <w:shd w:val="clear" w:color="auto" w:fill="FFFFFF"/>
              </w:rPr>
            </w:pPr>
          </w:p>
          <w:p w14:paraId="595B6887" w14:textId="77777777" w:rsidR="004A05F3" w:rsidRDefault="004A05F3" w:rsidP="004A05F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Estudio y análisis de la normativa vigente referida al objeto de auditoría.</w:t>
            </w:r>
          </w:p>
          <w:p w14:paraId="22C5D624" w14:textId="392799B2" w:rsidR="004A05F3" w:rsidRDefault="004A05F3" w:rsidP="004A05F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Re</w:t>
            </w:r>
            <w:r w:rsidRPr="005140D6">
              <w:rPr>
                <w:rFonts w:eastAsia="Arial" w:cs="Arial"/>
                <w:color w:val="000000"/>
              </w:rPr>
              <w:t>unión de Inicio de Auditoría</w:t>
            </w:r>
            <w:r w:rsidR="00077E18">
              <w:rPr>
                <w:rFonts w:eastAsia="Arial" w:cs="Arial"/>
                <w:color w:val="000000"/>
              </w:rPr>
              <w:t>, el día 31 de marzo</w:t>
            </w:r>
            <w:r>
              <w:rPr>
                <w:rFonts w:eastAsia="Arial" w:cs="Arial"/>
                <w:color w:val="000000"/>
              </w:rPr>
              <w:t xml:space="preserve"> de 2022,</w:t>
            </w:r>
            <w:r w:rsidRPr="005140D6">
              <w:rPr>
                <w:rFonts w:eastAsia="Arial" w:cs="Arial"/>
                <w:color w:val="000000"/>
              </w:rPr>
              <w:t xml:space="preserve"> entre el Equipo d</w:t>
            </w:r>
            <w:r>
              <w:rPr>
                <w:rFonts w:eastAsia="Arial" w:cs="Arial"/>
                <w:color w:val="000000"/>
              </w:rPr>
              <w:t>e Auditoría y agentes de la UE</w:t>
            </w:r>
            <w:r w:rsidR="00077E18">
              <w:rPr>
                <w:rFonts w:eastAsia="Arial" w:cs="Arial"/>
                <w:color w:val="000000"/>
              </w:rPr>
              <w:t>EXAU3</w:t>
            </w:r>
            <w:r w:rsidRPr="005140D6">
              <w:rPr>
                <w:rFonts w:cs="Arial"/>
              </w:rPr>
              <w:t>.</w:t>
            </w:r>
          </w:p>
          <w:p w14:paraId="1AB4E76A" w14:textId="77777777" w:rsidR="004A05F3" w:rsidRDefault="004A05F3" w:rsidP="004A05F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Solicitud </w:t>
            </w:r>
            <w:r w:rsidRPr="005140D6">
              <w:rPr>
                <w:rFonts w:cs="Arial"/>
              </w:rPr>
              <w:t>de toda la documentación y/o información pe</w:t>
            </w:r>
            <w:r>
              <w:rPr>
                <w:rFonts w:cs="Arial"/>
              </w:rPr>
              <w:t>rtinente al objeto de auditoria al organismo auditado.</w:t>
            </w:r>
          </w:p>
          <w:p w14:paraId="291E9A29" w14:textId="77777777" w:rsidR="004A05F3" w:rsidRDefault="004A05F3" w:rsidP="004A05F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 w:rsidRPr="005140D6">
              <w:rPr>
                <w:rFonts w:cs="Arial"/>
              </w:rPr>
              <w:t>Relevamiento y análisis de toda la documentación e información remitida por el organismo auditado en relación con el objeto de auditoría.</w:t>
            </w:r>
          </w:p>
          <w:p w14:paraId="037D6420" w14:textId="2A798F5B" w:rsidR="005379EE" w:rsidRDefault="005379EE" w:rsidP="004A05F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Solicitud al organismo auditado de información adicional. </w:t>
            </w:r>
          </w:p>
          <w:p w14:paraId="5167675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61C24FEE" w:rsidR="00F01E84" w:rsidRDefault="00077E18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r>
              <w:rPr>
                <w:rFonts w:eastAsia="Arial" w:cs="Arial"/>
                <w:color w:val="000000"/>
              </w:rPr>
              <w:t>N</w:t>
            </w:r>
            <w:r w:rsidR="009C2FDC">
              <w:rPr>
                <w:rFonts w:eastAsia="Arial" w:cs="Arial"/>
                <w:color w:val="000000"/>
              </w:rPr>
              <w:t>o fue suministrada por el organismo auditado</w:t>
            </w:r>
            <w:r>
              <w:rPr>
                <w:rFonts w:eastAsia="Arial" w:cs="Arial"/>
                <w:color w:val="000000"/>
              </w:rPr>
              <w:t xml:space="preserve"> la información adicional requerida por este organismo de control </w:t>
            </w:r>
            <w:r>
              <w:t xml:space="preserve">mediante Nota N° </w:t>
            </w:r>
            <w:r w:rsidRPr="00F66C64">
              <w:rPr>
                <w:rFonts w:eastAsia="Arial" w:cs="Arial"/>
                <w:color w:val="000000"/>
              </w:rPr>
              <w:t>NO-2022-</w:t>
            </w:r>
            <w:r>
              <w:rPr>
                <w:rFonts w:eastAsia="Arial" w:cs="Arial"/>
                <w:color w:val="000000"/>
              </w:rPr>
              <w:t xml:space="preserve">18964621-GCABA-UAIMDEP y </w:t>
            </w:r>
            <w:proofErr w:type="spellStart"/>
            <w:r>
              <w:rPr>
                <w:rFonts w:eastAsia="Arial" w:cs="Arial"/>
                <w:color w:val="000000"/>
              </w:rPr>
              <w:t>reiteratoria</w:t>
            </w:r>
            <w:proofErr w:type="spellEnd"/>
            <w:r>
              <w:rPr>
                <w:rFonts w:cs="Arial"/>
                <w:lang w:eastAsia="es-AR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N° </w:t>
            </w:r>
            <w:r w:rsidRPr="00F66C64">
              <w:rPr>
                <w:rFonts w:eastAsia="Arial" w:cs="Arial"/>
                <w:color w:val="000000"/>
              </w:rPr>
              <w:t>NO-2022-</w:t>
            </w:r>
            <w:r>
              <w:rPr>
                <w:rFonts w:eastAsia="Arial" w:cs="Arial"/>
                <w:color w:val="000000"/>
              </w:rPr>
              <w:t>20740708-GCABA-UAIMDEP, motivo por el cual exi</w:t>
            </w:r>
            <w:r w:rsidR="005379EE">
              <w:rPr>
                <w:rFonts w:eastAsia="Arial" w:cs="Arial"/>
                <w:color w:val="000000"/>
              </w:rPr>
              <w:t>s</w:t>
            </w:r>
            <w:r>
              <w:rPr>
                <w:rFonts w:eastAsia="Arial" w:cs="Arial"/>
                <w:color w:val="000000"/>
              </w:rPr>
              <w:t xml:space="preserve">tieron </w:t>
            </w:r>
            <w:r w:rsidR="009C2FDC">
              <w:rPr>
                <w:rFonts w:eastAsia="Arial" w:cs="Arial"/>
                <w:color w:val="000000"/>
              </w:rPr>
              <w:t xml:space="preserve">limitaciones al momento de establecer qué cantidad de beneficiarios, del total de cuatrocientos </w:t>
            </w:r>
            <w:proofErr w:type="spellStart"/>
            <w:r w:rsidR="009C2FDC">
              <w:rPr>
                <w:rFonts w:eastAsia="Arial" w:cs="Arial"/>
                <w:color w:val="000000"/>
              </w:rPr>
              <w:t>ventitrés</w:t>
            </w:r>
            <w:proofErr w:type="spellEnd"/>
            <w:r w:rsidR="009C2FDC">
              <w:rPr>
                <w:rFonts w:eastAsia="Arial" w:cs="Arial"/>
                <w:color w:val="000000"/>
              </w:rPr>
              <w:t xml:space="preserve"> (423), contaban con una efectiva solución habitacional y cuál</w:t>
            </w:r>
            <w:r w:rsidR="00D003D7">
              <w:rPr>
                <w:rFonts w:eastAsia="Arial" w:cs="Arial"/>
                <w:color w:val="000000"/>
              </w:rPr>
              <w:t>es no, al 1 de enero de 2021, y</w:t>
            </w:r>
            <w:r w:rsidR="009C2FDC">
              <w:rPr>
                <w:rFonts w:eastAsia="Arial" w:cs="Arial"/>
                <w:color w:val="000000"/>
              </w:rPr>
              <w:t>,</w:t>
            </w:r>
            <w:r w:rsidR="00D003D7">
              <w:rPr>
                <w:rFonts w:eastAsia="Arial" w:cs="Arial"/>
                <w:color w:val="000000"/>
              </w:rPr>
              <w:t xml:space="preserve"> </w:t>
            </w:r>
            <w:r w:rsidR="009C2FDC">
              <w:rPr>
                <w:rFonts w:eastAsia="Arial" w:cs="Arial"/>
                <w:color w:val="000000"/>
              </w:rPr>
              <w:t>consecuentemente, no se pudo establecer el grado de avance en el cumplimiento de la responsabilidad primaria del organismo auditado durante el período auditado.</w:t>
            </w:r>
          </w:p>
          <w:bookmarkEnd w:id="0"/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A61471E" w14:textId="77777777" w:rsidR="00F01E84" w:rsidRDefault="00F01E84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7D0099" w14:textId="2B295D01" w:rsidR="00954F14" w:rsidRDefault="00077E18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No se verificó la publicación en el Boletín Oficial, ni la notificación a los interesados</w:t>
            </w:r>
            <w:r w:rsidR="005379EE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de los actos administrativos de adjudicación de viviendas; se constataron deficiencias en los registros relativos al estado de las soluciones habitacionales; no se verificó el establecimiento de metas para el período auditado; </w:t>
            </w:r>
            <w:r w:rsidR="005379EE">
              <w:rPr>
                <w:color w:val="000000"/>
                <w:shd w:val="clear" w:color="auto" w:fill="FFFFFF"/>
              </w:rPr>
              <w:t xml:space="preserve">no se constató el cumplimiento del deber de colaboración por parte del organismo auditado con la Defensoría del Pueblo </w:t>
            </w:r>
            <w:r w:rsidR="005379EE">
              <w:rPr>
                <w:color w:val="000000"/>
                <w:shd w:val="clear" w:color="auto" w:fill="FFFFFF"/>
              </w:rPr>
              <w:lastRenderedPageBreak/>
              <w:t xml:space="preserve">de la CABA, tal como lo dispone la Ley Nº 3; </w:t>
            </w:r>
            <w:r w:rsidR="005379EE">
              <w:t>no se constató la notificación a los interesados de los actos administrativos denegatorios de la solicitud de ser tenidos como beneficiarios.</w:t>
            </w:r>
          </w:p>
          <w:p w14:paraId="1FA97A53" w14:textId="77777777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D53E620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21EF506" w:rsidR="00B00D6C" w:rsidRDefault="00D003D7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B00D6C">
                  <w:t>No emitió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6B04179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5BE6C49" w14:textId="77777777" w:rsidR="009C2FDC" w:rsidRDefault="009C2FDC" w:rsidP="009C2FDC">
            <w:pPr>
              <w:spacing w:after="120"/>
            </w:pPr>
            <w:r w:rsidRPr="00796BC6">
              <w:t>En virtud de las tareas de verificación llevadas a cabo por esta Unidad de Auditoría Interna en</w:t>
            </w:r>
            <w:r>
              <w:t xml:space="preserve"> la Unidad Ejecutora para la Renovación Urbana de la traza de la EX AU3, </w:t>
            </w:r>
            <w:r>
              <w:rPr>
                <w:rFonts w:cs="Arial"/>
              </w:rPr>
              <w:t>dependiente del Ministerio de Desarrollo Económico y Producción</w:t>
            </w:r>
            <w:r w:rsidRPr="0035164F">
              <w:t>, en relació</w:t>
            </w:r>
            <w:r>
              <w:t>n a la verificación del cumplimiento de la ejecución de las facultades conferidas por la Ley N° 3.396</w:t>
            </w:r>
            <w:r w:rsidRPr="0035164F">
              <w:t xml:space="preserve">, se concluye que </w:t>
            </w:r>
            <w:r>
              <w:t xml:space="preserve">no se verificó la publicación en el Boletín Oficial ni la notificación a los beneficiarios de los actos administrativos de adjudicación de viviendas; se verificaron deficiencias en cuanto a la integridad de los registros relacionados con el estado de situación de las soluciones habitacionales; no se constató el establecimiento de metas ni de indicadores de cumplimiento de las mismas; no se verificó el cumplimiento del deber de colaboración para con la Defensoría del Pueblo de la CABA; no se constató la notificación a los interesados de los actos administrativos denegatorios de la solicitud de ser tenidos como beneficiarios. </w:t>
            </w:r>
          </w:p>
          <w:p w14:paraId="654CEDA1" w14:textId="77777777" w:rsidR="009C2FDC" w:rsidRPr="00422A5B" w:rsidRDefault="009C2FDC" w:rsidP="009C2FDC">
            <w:pPr>
              <w:rPr>
                <w:rFonts w:cs="Arial"/>
              </w:rPr>
            </w:pPr>
            <w:r>
              <w:t xml:space="preserve">Así, se recomendó al organismo auditado cumplir con la publicación en el Boletín Oficial de los actos administrativos, que aun siendo de alcance individual, en su propia parte dispositiva establezcan su publicación, </w:t>
            </w:r>
            <w:proofErr w:type="spellStart"/>
            <w:r>
              <w:t>asi</w:t>
            </w:r>
            <w:proofErr w:type="spellEnd"/>
            <w:r>
              <w:t xml:space="preserve"> como la notificación de los mismos a los interesados (artículos 11 y 60 Decreto de Necesidad y Urgencia N°1510/97), más aún en el caso de que se traten de actos administrativos denegatorios; llevar registros completos; establecer una Planificación Anual con metas y objetivos precisos, así como indicadores de cumplimiento a los fines de poder evaluar la gestión; cumplir con el deber de colaboración hacia la Defensoría del Pueblo de la CABA impuesto por la Ley N° 3. </w:t>
            </w: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294DC736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default" r:id="rId13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6E150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56C8F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12C040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A6F5255" w14:textId="77777777" w:rsidR="00111F8C" w:rsidRDefault="00111F8C" w:rsidP="00111F8C">
    <w:pPr>
      <w:jc w:val="center"/>
      <w:rPr>
        <w:i/>
        <w:sz w:val="20"/>
        <w:lang w:eastAsia="es-ES"/>
      </w:rPr>
    </w:pPr>
    <w:r>
      <w:rPr>
        <w:i/>
        <w:sz w:val="20"/>
      </w:rPr>
      <w:t xml:space="preserve">“Año del 40° Aniversario de la Guerra de Malvinas. </w:t>
    </w:r>
  </w:p>
  <w:p w14:paraId="4BB6642A" w14:textId="77777777" w:rsidR="00111F8C" w:rsidRDefault="00111F8C" w:rsidP="00111F8C">
    <w:pPr>
      <w:jc w:val="center"/>
      <w:rPr>
        <w:i/>
        <w:sz w:val="20"/>
      </w:rPr>
    </w:pPr>
    <w:r>
      <w:rPr>
        <w:i/>
        <w:sz w:val="20"/>
      </w:rPr>
      <w:t xml:space="preserve">En homenaje a los veteranos y caídos en la defensa de las Islas Malvinas y el </w:t>
    </w:r>
  </w:p>
  <w:p w14:paraId="2F2D7E91" w14:textId="77777777" w:rsidR="00111F8C" w:rsidRDefault="00111F8C" w:rsidP="00111F8C">
    <w:pPr>
      <w:jc w:val="center"/>
      <w:rPr>
        <w:i/>
        <w:sz w:val="20"/>
      </w:rPr>
    </w:pPr>
    <w:r>
      <w:rPr>
        <w:i/>
        <w:sz w:val="20"/>
      </w:rPr>
      <w:t>Atlántico Sur”.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935BD"/>
    <w:multiLevelType w:val="hybridMultilevel"/>
    <w:tmpl w:val="81FC39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71A8"/>
    <w:multiLevelType w:val="hybridMultilevel"/>
    <w:tmpl w:val="1A243D8C"/>
    <w:lvl w:ilvl="0" w:tplc="2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6"/>
  </w:num>
  <w:num w:numId="5">
    <w:abstractNumId w:val="27"/>
  </w:num>
  <w:num w:numId="6">
    <w:abstractNumId w:val="12"/>
  </w:num>
  <w:num w:numId="7">
    <w:abstractNumId w:val="22"/>
  </w:num>
  <w:num w:numId="8">
    <w:abstractNumId w:val="2"/>
  </w:num>
  <w:num w:numId="9">
    <w:abstractNumId w:val="15"/>
  </w:num>
  <w:num w:numId="10">
    <w:abstractNumId w:val="5"/>
  </w:num>
  <w:num w:numId="11">
    <w:abstractNumId w:val="18"/>
  </w:num>
  <w:num w:numId="12">
    <w:abstractNumId w:val="7"/>
  </w:num>
  <w:num w:numId="13">
    <w:abstractNumId w:val="17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8"/>
  </w:num>
  <w:num w:numId="19">
    <w:abstractNumId w:val="4"/>
  </w:num>
  <w:num w:numId="20">
    <w:abstractNumId w:val="14"/>
  </w:num>
  <w:num w:numId="21">
    <w:abstractNumId w:val="25"/>
  </w:num>
  <w:num w:numId="22">
    <w:abstractNumId w:val="1"/>
  </w:num>
  <w:num w:numId="23">
    <w:abstractNumId w:val="16"/>
  </w:num>
  <w:num w:numId="24">
    <w:abstractNumId w:val="3"/>
  </w:num>
  <w:num w:numId="25">
    <w:abstractNumId w:val="29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13"/>
  </w:num>
  <w:num w:numId="31">
    <w:abstractNumId w:val="31"/>
  </w:num>
  <w:num w:numId="3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77E18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05F3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379EE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952B4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2FDC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03D7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paragraph" w:customStyle="1" w:styleId="Prrafo">
    <w:name w:val="Pàrrafo"/>
    <w:basedOn w:val="Normal"/>
    <w:link w:val="PrrafoCar"/>
    <w:qFormat/>
    <w:rsid w:val="004A05F3"/>
    <w:rPr>
      <w:rFonts w:eastAsia="Times New Roman"/>
      <w:sz w:val="24"/>
      <w:szCs w:val="24"/>
      <w:lang w:val="es-AR" w:eastAsia="es-ES"/>
    </w:rPr>
  </w:style>
  <w:style w:type="character" w:customStyle="1" w:styleId="PrrafoCar">
    <w:name w:val="Pàrrafo Car"/>
    <w:basedOn w:val="Ttulo1Car"/>
    <w:link w:val="Prrafo"/>
    <w:rsid w:val="004A05F3"/>
    <w:rPr>
      <w:rFonts w:eastAsia="Times New Roman" w:cs="Times New Roman"/>
      <w:b w:val="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02B6-5FF6-436A-B15D-8933DA2C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683BD-0B81-4372-AE1A-DDD6C2ED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Maria Florencia Marchetto</cp:lastModifiedBy>
  <cp:revision>5</cp:revision>
  <cp:lastPrinted>2017-07-25T19:06:00Z</cp:lastPrinted>
  <dcterms:created xsi:type="dcterms:W3CDTF">2022-07-26T14:03:00Z</dcterms:created>
  <dcterms:modified xsi:type="dcterms:W3CDTF">2022-08-03T14:26:00Z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