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74A8D3F8" w:rsidR="00F01E84" w:rsidRDefault="0053107B" w:rsidP="00073ADE">
            <w:pPr>
              <w:jc w:val="left"/>
              <w:rPr>
                <w:b/>
              </w:rPr>
            </w:pPr>
            <w:sdt>
              <w:sdtPr>
                <w:alias w:val="objeto"/>
                <w:tag w:val="objeto"/>
                <w:id w:val="-642732513"/>
                <w:placeholder>
                  <w:docPart w:val="6C58E4A028A94C77A2A93FD0E484A85F"/>
                </w:placeholder>
              </w:sdtPr>
              <w:sdtEndPr/>
              <w:sdtContent>
                <w:r w:rsidR="00D73EC4">
                  <w:t xml:space="preserve">“Verificación del cumplimiento y </w:t>
                </w:r>
                <w:proofErr w:type="spellStart"/>
                <w:r w:rsidR="00D73EC4">
                  <w:t>ejecucion</w:t>
                </w:r>
                <w:proofErr w:type="spellEnd"/>
                <w:r w:rsidR="00D73EC4">
                  <w:t xml:space="preserve"> de la responsabilidad primaria</w:t>
                </w:r>
                <w:r w:rsidR="00F01E84">
                  <w:t xml:space="preserve">, - </w:t>
                </w:r>
                <w:r w:rsidR="00F01E84" w:rsidRPr="00D73EC4">
                  <w:rPr>
                    <w:i/>
                  </w:rPr>
                  <w:t>Entender en políticas de mejora del consumo, ahorro de energía y generación distribuida</w:t>
                </w:r>
                <w:r w:rsidR="00D73EC4">
                  <w:t>-“</w:t>
                </w:r>
                <w:r w:rsidR="00F01E84">
                  <w:t>.</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77777777" w:rsidR="00F01E84" w:rsidRDefault="00F01E84" w:rsidP="00073ADE">
            <w:pPr>
              <w:jc w:val="left"/>
            </w:pPr>
          </w:p>
          <w:p w14:paraId="4B5DA20B" w14:textId="2BDE1BDD" w:rsidR="00F01E84" w:rsidRDefault="00D73EC4" w:rsidP="00073ADE">
            <w:pPr>
              <w:jc w:val="left"/>
            </w:pPr>
            <w:r>
              <w:t>01/01/2021 al 31/12/2021</w:t>
            </w: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6AEAAA70" w14:textId="77777777" w:rsidR="0082591B" w:rsidRDefault="0082591B" w:rsidP="0082591B">
            <w:pPr>
              <w:pStyle w:val="Prrafodelista"/>
              <w:numPr>
                <w:ilvl w:val="0"/>
                <w:numId w:val="32"/>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47997CA7" w14:textId="77777777" w:rsidR="0082591B" w:rsidRPr="006E1164" w:rsidRDefault="0082591B" w:rsidP="0082591B">
            <w:pPr>
              <w:pStyle w:val="Prrafodelista"/>
              <w:numPr>
                <w:ilvl w:val="0"/>
                <w:numId w:val="32"/>
              </w:numPr>
              <w:tabs>
                <w:tab w:val="left" w:pos="176"/>
              </w:tabs>
              <w:autoSpaceDE w:val="0"/>
              <w:autoSpaceDN w:val="0"/>
              <w:adjustRightInd w:val="0"/>
              <w:jc w:val="left"/>
              <w:rPr>
                <w:rFonts w:cs="Arial"/>
                <w:lang w:val="es-AR" w:eastAsia="es-ES"/>
              </w:rPr>
            </w:pPr>
            <w:r>
              <w:rPr>
                <w:rFonts w:cs="Arial"/>
                <w:lang w:val="es-AR" w:eastAsia="es-ES"/>
              </w:rPr>
              <w:t>Ley N° 70</w:t>
            </w:r>
          </w:p>
          <w:p w14:paraId="664FF725" w14:textId="77777777" w:rsidR="0082591B" w:rsidRDefault="0082591B" w:rsidP="0082591B">
            <w:pPr>
              <w:pStyle w:val="Prrafodelista"/>
              <w:numPr>
                <w:ilvl w:val="0"/>
                <w:numId w:val="32"/>
              </w:numPr>
              <w:tabs>
                <w:tab w:val="left" w:pos="176"/>
              </w:tabs>
              <w:autoSpaceDE w:val="0"/>
              <w:autoSpaceDN w:val="0"/>
              <w:adjustRightInd w:val="0"/>
              <w:jc w:val="left"/>
              <w:rPr>
                <w:rFonts w:cs="Arial"/>
                <w:lang w:val="es-AR" w:eastAsia="es-ES"/>
              </w:rPr>
            </w:pPr>
            <w:r>
              <w:rPr>
                <w:rFonts w:cs="Arial"/>
                <w:lang w:val="es-AR" w:eastAsia="es-ES"/>
              </w:rPr>
              <w:t>Ley N° 6.292</w:t>
            </w:r>
          </w:p>
          <w:p w14:paraId="68EEA263" w14:textId="77777777" w:rsidR="0082591B" w:rsidRPr="00927519" w:rsidRDefault="0082591B" w:rsidP="0082591B">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463/19</w:t>
            </w:r>
          </w:p>
          <w:p w14:paraId="25D8B018" w14:textId="77777777" w:rsidR="0082591B" w:rsidRPr="00927519" w:rsidRDefault="0082591B" w:rsidP="0082591B">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131/20</w:t>
            </w:r>
          </w:p>
          <w:p w14:paraId="04E8536D" w14:textId="77777777" w:rsidR="0082591B" w:rsidRPr="00927519" w:rsidRDefault="0082591B" w:rsidP="0082591B">
            <w:pPr>
              <w:pStyle w:val="Prrafodelista"/>
              <w:numPr>
                <w:ilvl w:val="0"/>
                <w:numId w:val="32"/>
              </w:numPr>
              <w:tabs>
                <w:tab w:val="left" w:pos="176"/>
              </w:tabs>
              <w:jc w:val="left"/>
              <w:rPr>
                <w:rFonts w:cs="Arial"/>
                <w:color w:val="000000"/>
                <w:shd w:val="clear" w:color="auto" w:fill="FFFFFF"/>
              </w:rPr>
            </w:pPr>
            <w:r w:rsidRPr="00927519">
              <w:rPr>
                <w:rFonts w:cs="Arial"/>
                <w:color w:val="000000"/>
                <w:shd w:val="clear" w:color="auto" w:fill="FFFFFF"/>
              </w:rPr>
              <w:t>Decreto N° 196/20</w:t>
            </w:r>
          </w:p>
          <w:p w14:paraId="00843904" w14:textId="63E90629" w:rsidR="0082591B" w:rsidRPr="00927519" w:rsidRDefault="0082591B" w:rsidP="0082591B">
            <w:pPr>
              <w:pStyle w:val="Prrafodelista"/>
              <w:numPr>
                <w:ilvl w:val="0"/>
                <w:numId w:val="32"/>
              </w:numPr>
              <w:tabs>
                <w:tab w:val="left" w:pos="176"/>
              </w:tabs>
              <w:jc w:val="left"/>
              <w:rPr>
                <w:rFonts w:cs="Arial"/>
                <w:color w:val="000000"/>
                <w:shd w:val="clear" w:color="auto" w:fill="FFFFFF"/>
              </w:rPr>
            </w:pPr>
            <w:r>
              <w:rPr>
                <w:rFonts w:cs="Arial"/>
                <w:color w:val="000000"/>
                <w:shd w:val="clear" w:color="auto" w:fill="FFFFFF"/>
              </w:rPr>
              <w:t>Decreto N° 337/21</w:t>
            </w:r>
          </w:p>
          <w:p w14:paraId="40A5C135" w14:textId="77777777" w:rsidR="00F01E84" w:rsidRDefault="00F01E84" w:rsidP="00073ADE">
            <w:pPr>
              <w:jc w:val="left"/>
              <w:rPr>
                <w:color w:val="000000"/>
                <w:sz w:val="21"/>
                <w:szCs w:val="21"/>
                <w:shd w:val="clear" w:color="auto" w:fill="FFFFFF"/>
              </w:rPr>
            </w:pP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21F38208" w14:textId="77777777" w:rsidR="0082591B" w:rsidRDefault="0082591B" w:rsidP="0082591B">
            <w:pPr>
              <w:jc w:val="left"/>
              <w:rPr>
                <w:color w:val="000000"/>
                <w:sz w:val="21"/>
                <w:szCs w:val="21"/>
                <w:shd w:val="clear" w:color="auto" w:fill="FFFFFF"/>
              </w:rPr>
            </w:pPr>
            <w:r>
              <w:rPr>
                <w:color w:val="000000"/>
                <w:sz w:val="21"/>
                <w:szCs w:val="21"/>
                <w:shd w:val="clear" w:color="auto" w:fill="FFFFFF"/>
              </w:rPr>
              <w:t xml:space="preserve">Dr. Patricio </w:t>
            </w:r>
            <w:proofErr w:type="spellStart"/>
            <w:r>
              <w:rPr>
                <w:color w:val="000000"/>
                <w:sz w:val="21"/>
                <w:szCs w:val="21"/>
                <w:shd w:val="clear" w:color="auto" w:fill="FFFFFF"/>
              </w:rPr>
              <w:t>Jaccoud</w:t>
            </w:r>
            <w:proofErr w:type="spellEnd"/>
            <w:r>
              <w:rPr>
                <w:color w:val="000000"/>
                <w:sz w:val="21"/>
                <w:szCs w:val="21"/>
                <w:shd w:val="clear" w:color="auto" w:fill="FFFFFF"/>
              </w:rPr>
              <w:t xml:space="preserve"> </w:t>
            </w:r>
            <w:proofErr w:type="spellStart"/>
            <w:r>
              <w:rPr>
                <w:color w:val="000000"/>
                <w:sz w:val="21"/>
                <w:szCs w:val="21"/>
                <w:shd w:val="clear" w:color="auto" w:fill="FFFFFF"/>
              </w:rPr>
              <w:t>Girart</w:t>
            </w:r>
            <w:proofErr w:type="spellEnd"/>
          </w:p>
          <w:p w14:paraId="15D03870" w14:textId="77777777" w:rsidR="0082591B" w:rsidRDefault="0082591B" w:rsidP="0082591B">
            <w:pPr>
              <w:jc w:val="left"/>
              <w:rPr>
                <w:color w:val="000000"/>
                <w:sz w:val="21"/>
                <w:szCs w:val="21"/>
                <w:shd w:val="clear" w:color="auto" w:fill="FFFFFF"/>
              </w:rPr>
            </w:pPr>
            <w:r>
              <w:rPr>
                <w:color w:val="000000"/>
                <w:sz w:val="21"/>
                <w:szCs w:val="21"/>
                <w:shd w:val="clear" w:color="auto" w:fill="FFFFFF"/>
              </w:rPr>
              <w:t>Dra. María Florencia Marchetto</w:t>
            </w:r>
          </w:p>
          <w:p w14:paraId="64478B51" w14:textId="77777777" w:rsidR="00F01E84" w:rsidRDefault="00F01E84" w:rsidP="00073ADE">
            <w:pPr>
              <w:jc w:val="left"/>
              <w:rPr>
                <w:color w:val="000000"/>
                <w:sz w:val="21"/>
                <w:szCs w:val="21"/>
                <w:shd w:val="clear" w:color="auto" w:fill="FFFFFF"/>
              </w:rPr>
            </w:pP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001/22</w:t>
                </w:r>
              </w:sdtContent>
            </w:sdt>
          </w:p>
          <w:p w14:paraId="7316EC05" w14:textId="2730B75D" w:rsidR="00F01E84" w:rsidRDefault="0053107B"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53107B"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53107B"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Políticas Energéticas</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367A58FA" w14:textId="35356FFE" w:rsidR="00D73EC4" w:rsidRDefault="00D73EC4" w:rsidP="00D73EC4">
            <w:pPr>
              <w:pStyle w:val="Prrafo"/>
              <w:spacing w:after="120"/>
              <w:rPr>
                <w:rFonts w:eastAsia="Calibri"/>
                <w:sz w:val="22"/>
                <w:szCs w:val="22"/>
                <w:lang w:val="es-ES" w:eastAsia="en-US"/>
              </w:rPr>
            </w:pPr>
            <w:r w:rsidRPr="005140D6">
              <w:rPr>
                <w:rFonts w:eastAsia="Calibri"/>
                <w:sz w:val="22"/>
                <w:szCs w:val="22"/>
                <w:lang w:val="es-ES" w:eastAsia="en-US"/>
              </w:rPr>
              <w:t xml:space="preserve">Las tareas de auditoría se llevaron </w:t>
            </w:r>
            <w:r>
              <w:rPr>
                <w:rFonts w:eastAsia="Calibri"/>
                <w:sz w:val="22"/>
                <w:szCs w:val="22"/>
                <w:lang w:val="es-ES" w:eastAsia="en-US"/>
              </w:rPr>
              <w:t>a cabo en las oficinas de la DGPEN</w:t>
            </w:r>
            <w:r w:rsidRPr="005140D6">
              <w:rPr>
                <w:rFonts w:eastAsia="Calibri"/>
                <w:sz w:val="22"/>
                <w:szCs w:val="22"/>
                <w:lang w:val="es-ES" w:eastAsia="en-US"/>
              </w:rPr>
              <w:t xml:space="preserve"> y de esta Unidad de Auditoría Interna, ambas sitas en Martín García N° 346, 2do. Piso, CABA, habiéndose dado </w:t>
            </w:r>
            <w:r>
              <w:rPr>
                <w:rFonts w:eastAsia="Calibri"/>
                <w:sz w:val="22"/>
                <w:szCs w:val="22"/>
                <w:lang w:val="es-ES" w:eastAsia="en-US"/>
              </w:rPr>
              <w:t>inicio a las mismas el día 13 de enero</w:t>
            </w:r>
            <w:r w:rsidRPr="005140D6">
              <w:rPr>
                <w:rFonts w:eastAsia="Calibri"/>
                <w:sz w:val="22"/>
                <w:szCs w:val="22"/>
                <w:lang w:val="es-ES" w:eastAsia="en-US"/>
              </w:rPr>
              <w:t xml:space="preserve"> y finalizad</w:t>
            </w:r>
            <w:r>
              <w:rPr>
                <w:rFonts w:eastAsia="Calibri"/>
                <w:sz w:val="22"/>
                <w:szCs w:val="22"/>
                <w:lang w:val="es-ES" w:eastAsia="en-US"/>
              </w:rPr>
              <w:t>o el día 3 de marzo</w:t>
            </w:r>
            <w:r>
              <w:rPr>
                <w:rFonts w:eastAsia="Calibri"/>
                <w:sz w:val="22"/>
                <w:szCs w:val="22"/>
                <w:lang w:val="es-ES" w:eastAsia="en-US"/>
              </w:rPr>
              <w:t xml:space="preserve"> </w:t>
            </w:r>
            <w:r>
              <w:rPr>
                <w:rFonts w:eastAsia="Calibri"/>
                <w:sz w:val="22"/>
                <w:szCs w:val="22"/>
                <w:lang w:val="es-ES" w:eastAsia="en-US"/>
              </w:rPr>
              <w:t>del 2022</w:t>
            </w:r>
            <w:r w:rsidRPr="005140D6">
              <w:rPr>
                <w:rFonts w:eastAsia="Calibri"/>
                <w:sz w:val="22"/>
                <w:szCs w:val="22"/>
                <w:lang w:val="es-ES" w:eastAsia="en-US"/>
              </w:rPr>
              <w:t xml:space="preserve"> </w:t>
            </w:r>
          </w:p>
          <w:p w14:paraId="51676754" w14:textId="77777777" w:rsidR="00B00D6C" w:rsidRDefault="00B00D6C" w:rsidP="00F01E84">
            <w:pPr>
              <w:rPr>
                <w:color w:val="000000"/>
                <w:sz w:val="21"/>
                <w:szCs w:val="21"/>
                <w:shd w:val="clear" w:color="auto" w:fill="FFFFFF"/>
              </w:rPr>
            </w:pPr>
          </w:p>
          <w:p w14:paraId="4FC44CF7" w14:textId="77777777" w:rsidR="00D73EC4" w:rsidRDefault="00D73EC4" w:rsidP="00D73EC4">
            <w:pPr>
              <w:pStyle w:val="Prrafo"/>
              <w:spacing w:after="120"/>
              <w:rPr>
                <w:rFonts w:eastAsia="Calibri"/>
                <w:b/>
                <w:sz w:val="22"/>
                <w:szCs w:val="22"/>
                <w:lang w:val="es-ES" w:eastAsia="en-US"/>
              </w:rPr>
            </w:pPr>
            <w:r w:rsidRPr="005140D6">
              <w:rPr>
                <w:rFonts w:eastAsia="Calibri"/>
                <w:b/>
                <w:sz w:val="22"/>
                <w:szCs w:val="22"/>
                <w:lang w:val="es-ES" w:eastAsia="en-US"/>
              </w:rPr>
              <w:t>Principales procedimientos aplicados</w:t>
            </w:r>
          </w:p>
          <w:p w14:paraId="38C99059" w14:textId="77777777" w:rsidR="00D73EC4" w:rsidRDefault="00D73EC4" w:rsidP="00D73EC4">
            <w:pPr>
              <w:rPr>
                <w:b/>
                <w:color w:val="000000"/>
                <w:shd w:val="clear" w:color="auto" w:fill="FFFFFF"/>
              </w:rPr>
            </w:pPr>
          </w:p>
          <w:p w14:paraId="27B38066" w14:textId="77777777" w:rsidR="00D73EC4" w:rsidRDefault="00D73EC4" w:rsidP="00D73EC4">
            <w:pPr>
              <w:pStyle w:val="Prrafodelista"/>
              <w:numPr>
                <w:ilvl w:val="0"/>
                <w:numId w:val="31"/>
              </w:numPr>
              <w:autoSpaceDE w:val="0"/>
              <w:autoSpaceDN w:val="0"/>
              <w:adjustRightInd w:val="0"/>
              <w:spacing w:after="120"/>
              <w:rPr>
                <w:rFonts w:cs="Arial"/>
              </w:rPr>
            </w:pPr>
            <w:r>
              <w:rPr>
                <w:rFonts w:cs="Arial"/>
              </w:rPr>
              <w:t>Estudio y análisis de la normativa vigente referida al objeto de auditoría.</w:t>
            </w:r>
          </w:p>
          <w:p w14:paraId="2C518945" w14:textId="05C35D41" w:rsidR="00D73EC4" w:rsidRDefault="00D73EC4" w:rsidP="00D73EC4">
            <w:pPr>
              <w:pStyle w:val="Prrafodelista"/>
              <w:numPr>
                <w:ilvl w:val="0"/>
                <w:numId w:val="31"/>
              </w:numPr>
              <w:autoSpaceDE w:val="0"/>
              <w:autoSpaceDN w:val="0"/>
              <w:adjustRightInd w:val="0"/>
              <w:spacing w:after="120"/>
              <w:rPr>
                <w:rFonts w:cs="Arial"/>
              </w:rPr>
            </w:pPr>
            <w:r>
              <w:rPr>
                <w:rFonts w:cs="Arial"/>
              </w:rPr>
              <w:t>Re</w:t>
            </w:r>
            <w:r w:rsidRPr="005140D6">
              <w:rPr>
                <w:rFonts w:eastAsia="Arial" w:cs="Arial"/>
                <w:color w:val="000000"/>
              </w:rPr>
              <w:t>unión de Inicio de Auditoría</w:t>
            </w:r>
            <w:r w:rsidR="0053107B">
              <w:rPr>
                <w:rFonts w:eastAsia="Arial" w:cs="Arial"/>
                <w:color w:val="000000"/>
              </w:rPr>
              <w:t>, el día 18 de enero</w:t>
            </w:r>
            <w:r>
              <w:rPr>
                <w:rFonts w:eastAsia="Arial" w:cs="Arial"/>
                <w:color w:val="000000"/>
              </w:rPr>
              <w:t xml:space="preserve"> d</w:t>
            </w:r>
            <w:r>
              <w:rPr>
                <w:rFonts w:eastAsia="Arial" w:cs="Arial"/>
                <w:color w:val="000000"/>
              </w:rPr>
              <w:t>e 2022</w:t>
            </w:r>
            <w:r>
              <w:rPr>
                <w:rFonts w:eastAsia="Arial" w:cs="Arial"/>
                <w:color w:val="000000"/>
              </w:rPr>
              <w:t>,</w:t>
            </w:r>
            <w:r w:rsidRPr="005140D6">
              <w:rPr>
                <w:rFonts w:eastAsia="Arial" w:cs="Arial"/>
                <w:color w:val="000000"/>
              </w:rPr>
              <w:t xml:space="preserve"> entre el Equipo d</w:t>
            </w:r>
            <w:r w:rsidR="0053107B">
              <w:rPr>
                <w:rFonts w:eastAsia="Arial" w:cs="Arial"/>
                <w:color w:val="000000"/>
              </w:rPr>
              <w:t>e Auditoría y la titular de la DGPEN</w:t>
            </w:r>
            <w:r w:rsidRPr="005140D6">
              <w:rPr>
                <w:rFonts w:cs="Arial"/>
              </w:rPr>
              <w:t>.</w:t>
            </w:r>
          </w:p>
          <w:p w14:paraId="4F0BE918" w14:textId="77777777" w:rsidR="00D73EC4" w:rsidRDefault="00D73EC4" w:rsidP="00D73EC4">
            <w:pPr>
              <w:pStyle w:val="Prrafodelista"/>
              <w:numPr>
                <w:ilvl w:val="0"/>
                <w:numId w:val="31"/>
              </w:numPr>
              <w:autoSpaceDE w:val="0"/>
              <w:autoSpaceDN w:val="0"/>
              <w:adjustRightInd w:val="0"/>
              <w:spacing w:after="120"/>
              <w:rPr>
                <w:rFonts w:cs="Arial"/>
              </w:rPr>
            </w:pPr>
            <w:r>
              <w:rPr>
                <w:rFonts w:cs="Arial"/>
              </w:rPr>
              <w:t xml:space="preserve">Solicitud </w:t>
            </w:r>
            <w:r w:rsidRPr="005140D6">
              <w:rPr>
                <w:rFonts w:cs="Arial"/>
              </w:rPr>
              <w:t>de toda la documentación y/o información pe</w:t>
            </w:r>
            <w:r>
              <w:rPr>
                <w:rFonts w:cs="Arial"/>
              </w:rPr>
              <w:t>rtinente al objeto de auditoria al organismo auditado.</w:t>
            </w:r>
          </w:p>
          <w:p w14:paraId="11D42CBB" w14:textId="77777777" w:rsidR="00D73EC4" w:rsidRDefault="00D73EC4" w:rsidP="00D73EC4">
            <w:pPr>
              <w:pStyle w:val="Prrafodelista"/>
              <w:numPr>
                <w:ilvl w:val="0"/>
                <w:numId w:val="31"/>
              </w:numPr>
              <w:autoSpaceDE w:val="0"/>
              <w:autoSpaceDN w:val="0"/>
              <w:adjustRightInd w:val="0"/>
              <w:spacing w:after="120"/>
              <w:rPr>
                <w:rFonts w:cs="Arial"/>
              </w:rPr>
            </w:pPr>
            <w:r w:rsidRPr="005140D6">
              <w:rPr>
                <w:rFonts w:cs="Arial"/>
              </w:rPr>
              <w:t>Relevamiento y análisis de toda la documentación e información remitida por el organismo auditado en relación con el objeto de auditoría.</w:t>
            </w:r>
          </w:p>
          <w:p w14:paraId="61D1ADC5" w14:textId="77777777"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2969B75F" w14:textId="77777777" w:rsidR="00EE2BEC" w:rsidRDefault="00EE2BEC" w:rsidP="00F01E84"/>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647D0099" w14:textId="5CC215E5"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r>
              <w:rPr>
                <w:color w:val="000000"/>
                <w:sz w:val="21"/>
                <w:szCs w:val="21"/>
                <w:shd w:val="clear" w:color="auto" w:fill="FFFFFF"/>
              </w:rPr>
              <w:t xml:space="preserve"> </w:t>
            </w:r>
          </w:p>
          <w:p w14:paraId="1FA97A53" w14:textId="4B882366" w:rsidR="00F01E84" w:rsidRDefault="0053107B" w:rsidP="00956DC8">
            <w:pPr>
              <w:rPr>
                <w:color w:val="000000"/>
                <w:sz w:val="21"/>
                <w:szCs w:val="21"/>
                <w:shd w:val="clear" w:color="auto" w:fill="FFFFFF"/>
              </w:rPr>
            </w:pPr>
            <w:r>
              <w:rPr>
                <w:color w:val="000000"/>
                <w:sz w:val="21"/>
                <w:szCs w:val="21"/>
                <w:shd w:val="clear" w:color="auto" w:fill="FFFFFF"/>
              </w:rPr>
              <w:t xml:space="preserve">Se verificó que el organismo auditado no posee un Manual de Procedimientos </w:t>
            </w:r>
            <w:r>
              <w:rPr>
                <w:color w:val="000000"/>
                <w:sz w:val="21"/>
                <w:szCs w:val="21"/>
                <w:shd w:val="clear" w:color="auto" w:fill="FFFFFF"/>
              </w:rPr>
              <w:t xml:space="preserve">interno formalmente aprobado; no se verificó </w:t>
            </w:r>
            <w:r>
              <w:t>una formulación clara y precisa de las metas a alcanzar en los Programas y Proyectos, así como de los indicadores de cumplimiento de las mismas.</w:t>
            </w:r>
          </w:p>
          <w:p w14:paraId="76B76CFA" w14:textId="77777777" w:rsidR="00EE2BEC" w:rsidRDefault="00EE2BEC" w:rsidP="00956DC8">
            <w:pPr>
              <w:rPr>
                <w:color w:val="000000"/>
                <w:sz w:val="21"/>
                <w:szCs w:val="21"/>
                <w:shd w:val="clear" w:color="auto" w:fill="FFFFFF"/>
              </w:rPr>
            </w:pPr>
          </w:p>
          <w:p w14:paraId="63415B2E" w14:textId="77777777" w:rsidR="00B00D6C" w:rsidRDefault="00B00D6C" w:rsidP="00956DC8">
            <w:pPr>
              <w:rPr>
                <w:color w:val="000000"/>
                <w:sz w:val="21"/>
                <w:szCs w:val="21"/>
                <w:shd w:val="clear" w:color="auto" w:fill="FFFFFF"/>
              </w:rPr>
            </w:pPr>
          </w:p>
          <w:p w14:paraId="5D53E620"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44EEDB25" w:rsidR="00B00D6C" w:rsidRDefault="0053107B"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82591B">
                  <w:t>Emitió opinión.</w:t>
                </w:r>
              </w:sdtContent>
            </w:sdt>
            <w:r w:rsidR="00B00D6C">
              <w:t xml:space="preserve"> </w:t>
            </w:r>
          </w:p>
          <w:p w14:paraId="1E12CC7A" w14:textId="77777777" w:rsidR="00B00D6C" w:rsidRDefault="00B00D6C" w:rsidP="00956DC8">
            <w:pPr>
              <w:rPr>
                <w:b/>
              </w:rPr>
            </w:pPr>
          </w:p>
          <w:p w14:paraId="76B04179" w14:textId="77777777" w:rsidR="00B00D6C" w:rsidRDefault="00B00D6C" w:rsidP="00956DC8">
            <w:pPr>
              <w:rPr>
                <w:b/>
              </w:rPr>
            </w:pPr>
          </w:p>
          <w:p w14:paraId="62CCB5B7" w14:textId="77777777" w:rsidR="00B00D6C" w:rsidRDefault="00B00D6C" w:rsidP="00956DC8">
            <w:pPr>
              <w:rPr>
                <w:b/>
              </w:rPr>
            </w:pPr>
          </w:p>
          <w:p w14:paraId="76A1225D"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06D6557F" w14:textId="77777777" w:rsidR="0053107B" w:rsidRPr="0035164F" w:rsidRDefault="0053107B" w:rsidP="0053107B">
            <w:pPr>
              <w:spacing w:after="120"/>
            </w:pPr>
            <w:r w:rsidRPr="000A4B08">
              <w:t>En virtud de las tareas de verificación llevadas a cabo por esta Unidad de Auditoría Interna en</w:t>
            </w:r>
            <w:r w:rsidRPr="0035164F">
              <w:t xml:space="preserve"> la Dirección</w:t>
            </w:r>
            <w:r>
              <w:t xml:space="preserve"> General de Políticas Energéticas, dependiente </w:t>
            </w:r>
            <w:r w:rsidRPr="0035164F">
              <w:t>del Ministerio de Desarrollo Económico y Producción, en relación al objeto del presente informe, se concluye que no se ver</w:t>
            </w:r>
            <w:r>
              <w:t xml:space="preserve">ificó la existencia de un Manual de Procedimientos formalmente aprobado, en el que se encuentren plasmados todos los procedimientos que el organismo lleva adelante. Por otra parte, no se verificó una formulación clara y precisa de las metas a alcanzar en los Programas y Proyectos, así como de los indicadores de cumplimiento de las mismas. Al respecto se recomienda al organismo auditado la pronta elaboración de un Manual de Procedimientos, </w:t>
            </w:r>
            <w:r>
              <w:rPr>
                <w:rFonts w:cs="Arial"/>
              </w:rPr>
              <w:t xml:space="preserve">que defina y regule la totalidad de los diversos </w:t>
            </w:r>
            <w:r w:rsidRPr="00FD408F">
              <w:rPr>
                <w:rFonts w:cs="Arial"/>
              </w:rPr>
              <w:t xml:space="preserve">procedimientos </w:t>
            </w:r>
            <w:r>
              <w:rPr>
                <w:rFonts w:cs="Arial"/>
              </w:rPr>
              <w:t xml:space="preserve">y tareas </w:t>
            </w:r>
            <w:r w:rsidRPr="00FD408F">
              <w:rPr>
                <w:rFonts w:cs="Arial"/>
              </w:rPr>
              <w:t>que</w:t>
            </w:r>
            <w:r>
              <w:rPr>
                <w:rFonts w:cs="Arial"/>
              </w:rPr>
              <w:t xml:space="preserve"> lleva adelante </w:t>
            </w:r>
            <w:r w:rsidRPr="00FD408F">
              <w:rPr>
                <w:rFonts w:cs="Arial"/>
              </w:rPr>
              <w:t>para el cumplimiento y desarrollo de las responsabilidades que le son propias</w:t>
            </w:r>
            <w:r>
              <w:rPr>
                <w:rFonts w:cs="Arial"/>
              </w:rPr>
              <w:t>; al tiempo que una formulación clara y precisa tanto de los Programas y Proyectos, como de las metas a ser alcanzadas por los mismos y los indicadores de cumplimiento de estas últimas, todo lo cual hace posible el control interno de la gestión.</w:t>
            </w:r>
          </w:p>
          <w:p w14:paraId="679A9F28" w14:textId="77777777" w:rsidR="0053107B" w:rsidRDefault="0053107B" w:rsidP="0053107B">
            <w:pPr>
              <w:spacing w:after="120"/>
            </w:pPr>
            <w:r>
              <w:t>Asimismo</w:t>
            </w:r>
            <w:r w:rsidRPr="000D5049">
              <w:t>, cabe destacar la excelente predisposición</w:t>
            </w:r>
            <w:r>
              <w:t xml:space="preserve"> del personal de la Dirección durante</w:t>
            </w:r>
            <w:r w:rsidRPr="000D5049">
              <w:t xml:space="preserve"> tod</w:t>
            </w:r>
            <w:r>
              <w:t xml:space="preserve">o el desarrollo de la auditoría, así como el fuerte compromiso y responsabilidad demostrado en la gestión que lleva adelante. </w:t>
            </w:r>
          </w:p>
          <w:p w14:paraId="60D97FE4" w14:textId="77777777" w:rsidR="00B00D6C" w:rsidRDefault="00B00D6C" w:rsidP="00956DC8">
            <w:pPr>
              <w:rPr>
                <w:shd w:val="clear" w:color="auto" w:fill="FFFFFF"/>
              </w:rPr>
            </w:pPr>
            <w:bookmarkStart w:id="0" w:name="_GoBack"/>
            <w:bookmarkEnd w:id="0"/>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260B5"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EB538"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B60501"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6935BD"/>
    <w:multiLevelType w:val="hybridMultilevel"/>
    <w:tmpl w:val="81FC39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2"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1"/>
  </w:num>
  <w:num w:numId="2">
    <w:abstractNumId w:val="8"/>
  </w:num>
  <w:num w:numId="3">
    <w:abstractNumId w:val="10"/>
  </w:num>
  <w:num w:numId="4">
    <w:abstractNumId w:val="26"/>
  </w:num>
  <w:num w:numId="5">
    <w:abstractNumId w:val="27"/>
  </w:num>
  <w:num w:numId="6">
    <w:abstractNumId w:val="12"/>
  </w:num>
  <w:num w:numId="7">
    <w:abstractNumId w:val="22"/>
  </w:num>
  <w:num w:numId="8">
    <w:abstractNumId w:val="2"/>
  </w:num>
  <w:num w:numId="9">
    <w:abstractNumId w:val="15"/>
  </w:num>
  <w:num w:numId="10">
    <w:abstractNumId w:val="5"/>
  </w:num>
  <w:num w:numId="11">
    <w:abstractNumId w:val="18"/>
  </w:num>
  <w:num w:numId="12">
    <w:abstractNumId w:val="7"/>
  </w:num>
  <w:num w:numId="13">
    <w:abstractNumId w:val="17"/>
  </w:num>
  <w:num w:numId="14">
    <w:abstractNumId w:val="24"/>
  </w:num>
  <w:num w:numId="15">
    <w:abstractNumId w:val="23"/>
  </w:num>
  <w:num w:numId="16">
    <w:abstractNumId w:val="19"/>
  </w:num>
  <w:num w:numId="17">
    <w:abstractNumId w:val="20"/>
  </w:num>
  <w:num w:numId="18">
    <w:abstractNumId w:val="28"/>
  </w:num>
  <w:num w:numId="19">
    <w:abstractNumId w:val="4"/>
  </w:num>
  <w:num w:numId="20">
    <w:abstractNumId w:val="14"/>
  </w:num>
  <w:num w:numId="21">
    <w:abstractNumId w:val="25"/>
  </w:num>
  <w:num w:numId="22">
    <w:abstractNumId w:val="1"/>
  </w:num>
  <w:num w:numId="23">
    <w:abstractNumId w:val="16"/>
  </w:num>
  <w:num w:numId="24">
    <w:abstractNumId w:val="3"/>
  </w:num>
  <w:num w:numId="25">
    <w:abstractNumId w:val="29"/>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0"/>
  </w:num>
  <w:num w:numId="30">
    <w:abstractNumId w:val="13"/>
  </w:num>
  <w:num w:numId="31">
    <w:abstractNumId w:val="6"/>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07B"/>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57D"/>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51B5"/>
    <w:rsid w:val="00806391"/>
    <w:rsid w:val="00806608"/>
    <w:rsid w:val="00813007"/>
    <w:rsid w:val="008171AF"/>
    <w:rsid w:val="00817613"/>
    <w:rsid w:val="00821AB2"/>
    <w:rsid w:val="0082236A"/>
    <w:rsid w:val="00822467"/>
    <w:rsid w:val="0082364A"/>
    <w:rsid w:val="0082591B"/>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73EC4"/>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customStyle="1" w:styleId="Prrafo">
    <w:name w:val="Pàrrafo"/>
    <w:basedOn w:val="Normal"/>
    <w:link w:val="PrrafoCar"/>
    <w:qFormat/>
    <w:rsid w:val="00D73EC4"/>
    <w:rPr>
      <w:rFonts w:eastAsia="Times New Roman"/>
      <w:sz w:val="24"/>
      <w:szCs w:val="24"/>
      <w:lang w:val="es-AR" w:eastAsia="es-ES"/>
    </w:rPr>
  </w:style>
  <w:style w:type="character" w:customStyle="1" w:styleId="PrrafoCar">
    <w:name w:val="Pàrrafo Car"/>
    <w:basedOn w:val="Ttulo1Car"/>
    <w:link w:val="Prrafo"/>
    <w:rsid w:val="00D73EC4"/>
    <w:rPr>
      <w:rFonts w:eastAsia="Times New Roman" w:cs="Times New Roman"/>
      <w:b w:val="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4A4CE721-9736-4642-A52D-5CFF3896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006781-C240-4AAB-8DEC-BB320CDA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5</cp:revision>
  <cp:lastPrinted>2017-07-25T19:06:00Z</cp:lastPrinted>
  <dcterms:created xsi:type="dcterms:W3CDTF">2022-03-07T16:15:00Z</dcterms:created>
  <dcterms:modified xsi:type="dcterms:W3CDTF">2022-03-07T19:25:00Z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