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95F45B" w:rsidR="00F01E84" w:rsidRDefault="00601C83" w:rsidP="00073ADE">
            <w:pPr>
              <w:jc w:val="left"/>
              <w:rPr>
                <w:b/>
              </w:rPr>
            </w:pPr>
            <w:sdt>
              <w:sdtPr>
                <w:alias w:val="objeto"/>
                <w:tag w:val="objeto"/>
                <w:id w:val="-642732513"/>
                <w:placeholder>
                  <w:docPart w:val="6C58E4A028A94C77A2A93FD0E484A85F"/>
                </w:placeholder>
              </w:sdtPr>
              <w:sdtEndPr/>
              <w:sdtContent>
                <w:r w:rsidR="00F01E84">
                  <w:t>Control de Cumplimiento de la Presentación de las Declaraciones Juradas Patrimoniales Integrales</w:t>
                </w:r>
                <w:r>
                  <w:t xml:space="preserve"> 2021-2022</w:t>
                </w:r>
                <w:r w:rsidR="00F01E84">
                  <w:t>.</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3AF7FBF9" w:rsidR="00F01E84" w:rsidRDefault="0082315D" w:rsidP="0082315D">
            <w:pPr>
              <w:jc w:val="left"/>
            </w:pPr>
            <w:r>
              <w:t>10/06/2020 al 30/07/2022.</w:t>
            </w:r>
          </w:p>
          <w:p w14:paraId="4B5DA20B" w14:textId="77777777" w:rsidR="00F01E84" w:rsidRDefault="00F01E84" w:rsidP="00073ADE">
            <w:pPr>
              <w:jc w:val="left"/>
            </w:pP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40A5C135" w14:textId="77777777" w:rsidR="00F01E84" w:rsidRPr="00E5675B" w:rsidRDefault="00F01E84" w:rsidP="00073ADE">
            <w:pPr>
              <w:jc w:val="left"/>
              <w:rPr>
                <w:b/>
                <w:color w:val="000000"/>
                <w:sz w:val="21"/>
                <w:szCs w:val="21"/>
                <w:shd w:val="clear" w:color="auto" w:fill="FFFFFF"/>
              </w:rPr>
            </w:pPr>
          </w:p>
          <w:p w14:paraId="01AB2AA2" w14:textId="78693D09" w:rsidR="00E5675B" w:rsidRPr="00E5675B" w:rsidRDefault="00E5675B" w:rsidP="00E5675B">
            <w:pPr>
              <w:jc w:val="left"/>
              <w:rPr>
                <w:rFonts w:cs="Arial"/>
                <w:b/>
              </w:rPr>
            </w:pPr>
            <w:r>
              <w:rPr>
                <w:rFonts w:cs="Arial"/>
                <w:b/>
              </w:rPr>
              <w:t xml:space="preserve">- </w:t>
            </w:r>
            <w:r w:rsidRPr="00E5675B">
              <w:rPr>
                <w:rFonts w:cs="Arial"/>
                <w:b/>
              </w:rPr>
              <w:t xml:space="preserve">Const. De la CABA </w:t>
            </w:r>
          </w:p>
          <w:p w14:paraId="1E8F31D7" w14:textId="77777777" w:rsidR="00E5675B" w:rsidRPr="00E5675B" w:rsidRDefault="00E5675B" w:rsidP="00E5675B">
            <w:pPr>
              <w:jc w:val="left"/>
              <w:rPr>
                <w:rFonts w:cs="Arial"/>
                <w:b/>
              </w:rPr>
            </w:pPr>
            <w:r w:rsidRPr="00E5675B">
              <w:rPr>
                <w:rFonts w:cs="Arial"/>
                <w:b/>
              </w:rPr>
              <w:t>- Ley Nº 70.</w:t>
            </w:r>
          </w:p>
          <w:p w14:paraId="350DA527" w14:textId="37D18B9B" w:rsidR="00E5675B" w:rsidRPr="00E5675B" w:rsidRDefault="00E5675B" w:rsidP="00E5675B">
            <w:pPr>
              <w:jc w:val="left"/>
              <w:rPr>
                <w:rFonts w:cs="Arial"/>
                <w:b/>
                <w:lang w:eastAsia="es-AR"/>
              </w:rPr>
            </w:pPr>
            <w:r w:rsidRPr="00E5675B">
              <w:rPr>
                <w:rFonts w:cs="Arial"/>
                <w:b/>
              </w:rPr>
              <w:t xml:space="preserve">- </w:t>
            </w:r>
            <w:r>
              <w:rPr>
                <w:rFonts w:cs="Arial"/>
                <w:b/>
                <w:lang w:eastAsia="es-AR"/>
              </w:rPr>
              <w:t>Ley N° 6.357</w:t>
            </w:r>
          </w:p>
          <w:p w14:paraId="6785901F" w14:textId="77777777" w:rsidR="00E5675B" w:rsidRPr="00E5675B" w:rsidRDefault="00E5675B" w:rsidP="00E5675B">
            <w:pPr>
              <w:jc w:val="left"/>
              <w:rPr>
                <w:rFonts w:cs="Arial"/>
                <w:b/>
              </w:rPr>
            </w:pPr>
            <w:r w:rsidRPr="00E5675B">
              <w:rPr>
                <w:rFonts w:cs="Arial"/>
                <w:b/>
                <w:lang w:eastAsia="es-AR"/>
              </w:rPr>
              <w:t xml:space="preserve">- </w:t>
            </w:r>
            <w:r w:rsidRPr="00E5675B">
              <w:rPr>
                <w:rFonts w:cs="Arial"/>
                <w:b/>
              </w:rPr>
              <w:t xml:space="preserve">Decreto N° 463/19. </w:t>
            </w:r>
          </w:p>
          <w:p w14:paraId="09F6F5FE" w14:textId="214A667F" w:rsidR="00E5675B" w:rsidRPr="00E5675B" w:rsidRDefault="00E5675B" w:rsidP="00E5675B">
            <w:pPr>
              <w:jc w:val="left"/>
              <w:rPr>
                <w:rFonts w:cs="Arial"/>
                <w:b/>
              </w:rPr>
            </w:pPr>
            <w:r w:rsidRPr="00E5675B">
              <w:rPr>
                <w:rFonts w:cs="Arial"/>
                <w:b/>
              </w:rPr>
              <w:t xml:space="preserve">- </w:t>
            </w:r>
            <w:r>
              <w:rPr>
                <w:rFonts w:cs="Arial"/>
                <w:b/>
              </w:rPr>
              <w:t>Decreto N°83/22.</w:t>
            </w:r>
          </w:p>
          <w:p w14:paraId="6247C6FF" w14:textId="52E6A316" w:rsidR="00E5675B" w:rsidRDefault="00E5675B" w:rsidP="00E5675B">
            <w:pPr>
              <w:jc w:val="left"/>
              <w:rPr>
                <w:rFonts w:cs="Arial"/>
                <w:b/>
              </w:rPr>
            </w:pPr>
            <w:r>
              <w:rPr>
                <w:rFonts w:cs="Arial"/>
                <w:b/>
              </w:rPr>
              <w:t>- Decreto N°129/22.</w:t>
            </w:r>
          </w:p>
          <w:p w14:paraId="750B5376" w14:textId="0BD86E23" w:rsidR="00E5675B" w:rsidRPr="00E5675B" w:rsidRDefault="00E5675B" w:rsidP="00E5675B">
            <w:pPr>
              <w:jc w:val="left"/>
              <w:rPr>
                <w:rFonts w:cs="Arial"/>
                <w:b/>
              </w:rPr>
            </w:pPr>
            <w:r>
              <w:rPr>
                <w:rFonts w:cs="Arial"/>
                <w:b/>
              </w:rPr>
              <w:t>- Decreto N°161/22.</w:t>
            </w:r>
          </w:p>
          <w:p w14:paraId="76AA078A" w14:textId="77777777" w:rsidR="00E5675B" w:rsidRPr="00E5675B" w:rsidRDefault="00E5675B" w:rsidP="00E5675B">
            <w:pPr>
              <w:jc w:val="left"/>
              <w:rPr>
                <w:rFonts w:cs="Arial"/>
                <w:b/>
                <w:lang w:eastAsia="es-AR"/>
              </w:rPr>
            </w:pPr>
            <w:r w:rsidRPr="00E5675B">
              <w:rPr>
                <w:rFonts w:cs="Arial"/>
                <w:b/>
              </w:rPr>
              <w:t xml:space="preserve">- </w:t>
            </w:r>
            <w:r w:rsidRPr="00E5675B">
              <w:rPr>
                <w:rFonts w:cs="Arial"/>
                <w:b/>
                <w:lang w:eastAsia="es-AR"/>
              </w:rPr>
              <w:t xml:space="preserve">Circular Nº 05-  </w:t>
            </w:r>
          </w:p>
          <w:p w14:paraId="31F1F355" w14:textId="7BF14C76" w:rsidR="00F01E84" w:rsidRPr="00E5675B" w:rsidRDefault="00E5675B" w:rsidP="00073ADE">
            <w:pPr>
              <w:jc w:val="left"/>
              <w:rPr>
                <w:rFonts w:cs="Arial"/>
                <w:b/>
              </w:rPr>
            </w:pPr>
            <w:r w:rsidRPr="00E5675B">
              <w:rPr>
                <w:rFonts w:cs="Arial"/>
                <w:b/>
                <w:lang w:eastAsia="es-AR"/>
              </w:rPr>
              <w:t xml:space="preserve">  SGCBA/16.</w:t>
            </w: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64EA106F" w14:textId="2A727DE0"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46FB2633" w14:textId="594346A9" w:rsidR="00F01E84" w:rsidRDefault="00E5675B" w:rsidP="00073ADE">
            <w:pPr>
              <w:jc w:val="left"/>
            </w:pPr>
            <w:r>
              <w:t xml:space="preserve">Dr. Patricio E. </w:t>
            </w:r>
            <w:proofErr w:type="spellStart"/>
            <w:r>
              <w:t>Jaccoud</w:t>
            </w:r>
            <w:proofErr w:type="spellEnd"/>
            <w:r>
              <w:t xml:space="preserve"> </w:t>
            </w:r>
            <w:proofErr w:type="spellStart"/>
            <w:r>
              <w:t>Girart</w:t>
            </w:r>
            <w:proofErr w:type="spellEnd"/>
            <w:r>
              <w:t xml:space="preserve"> </w:t>
            </w:r>
          </w:p>
          <w:p w14:paraId="04FA97B7" w14:textId="37ED2F7A" w:rsidR="00E5675B" w:rsidRDefault="00E5675B" w:rsidP="00073ADE">
            <w:pPr>
              <w:jc w:val="left"/>
            </w:pPr>
            <w:r>
              <w:t xml:space="preserve">Dra. Laura N. </w:t>
            </w:r>
            <w:proofErr w:type="spellStart"/>
            <w:r>
              <w:t>Santoyanni</w:t>
            </w:r>
            <w:proofErr w:type="spellEnd"/>
          </w:p>
          <w:p w14:paraId="21432760" w14:textId="40AFB2DB" w:rsidR="00E5675B" w:rsidRDefault="00E5675B" w:rsidP="00073ADE">
            <w:pPr>
              <w:jc w:val="left"/>
            </w:pPr>
            <w:r>
              <w:t>Srta. Victoria L. Bregonzi</w:t>
            </w: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008/22</w:t>
                </w:r>
              </w:sdtContent>
            </w:sdt>
          </w:p>
          <w:p w14:paraId="7316EC05" w14:textId="2730B75D" w:rsidR="00F01E84" w:rsidRDefault="00601C83"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601C83"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601C83"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601C83" w:rsidP="00F34E95">
                <w:pPr>
                  <w:spacing w:before="20"/>
                  <w:rPr>
                    <w:b/>
                  </w:rPr>
                </w:pP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033A2BB" w14:textId="77777777" w:rsidR="0082315D" w:rsidRDefault="00B00D6C" w:rsidP="0082315D">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7899F005" w14:textId="3917C6D5" w:rsidR="0082315D" w:rsidRPr="0082315D" w:rsidRDefault="0082315D" w:rsidP="0082315D">
            <w:pPr>
              <w:rPr>
                <w:color w:val="000000"/>
                <w:sz w:val="21"/>
                <w:szCs w:val="21"/>
                <w:shd w:val="clear" w:color="auto" w:fill="FFFFFF"/>
              </w:rPr>
            </w:pPr>
            <w:r w:rsidRPr="0082315D">
              <w:t xml:space="preserve">Las tareas de auditoría se llevaron a cabo en la sede de esta Unidad de Auditoría sita en Martín García 346, piso 2, CABA, habiendo dado inicio a las mismas el día 10 de junio de 2022 y finalizado el día 30 de julio del corriente. </w:t>
            </w:r>
          </w:p>
          <w:p w14:paraId="4499D6C5" w14:textId="4764C5A2" w:rsidR="0082315D" w:rsidRDefault="0082315D" w:rsidP="0082315D">
            <w:pPr>
              <w:pStyle w:val="Ttulo"/>
              <w:spacing w:after="120"/>
              <w:jc w:val="both"/>
              <w:rPr>
                <w:b w:val="0"/>
              </w:rPr>
            </w:pPr>
            <w:r>
              <w:rPr>
                <w:b w:val="0"/>
              </w:rPr>
              <w:t xml:space="preserve">Se verificó el cumplimiento de la presentación de las Declaraciones Juradas Integrales, actualizaciones/anuales 2022, así como también las iniciales y finales presentadas entre el 01 de Julio de 2021 y </w:t>
            </w:r>
            <w:r w:rsidR="00E5675B">
              <w:rPr>
                <w:b w:val="0"/>
              </w:rPr>
              <w:t>el 30</w:t>
            </w:r>
            <w:r>
              <w:rPr>
                <w:b w:val="0"/>
              </w:rPr>
              <w:t xml:space="preserve"> de </w:t>
            </w:r>
            <w:r w:rsidR="00E5675B">
              <w:rPr>
                <w:b w:val="0"/>
              </w:rPr>
              <w:t>junio</w:t>
            </w:r>
            <w:r>
              <w:rPr>
                <w:b w:val="0"/>
              </w:rPr>
              <w:t xml:space="preserve"> de 2022, según lo est</w:t>
            </w:r>
            <w:r w:rsidR="00601C83">
              <w:rPr>
                <w:b w:val="0"/>
              </w:rPr>
              <w:t>ablecido mediante la Ley N° 6.357</w:t>
            </w:r>
            <w:r>
              <w:rPr>
                <w:b w:val="0"/>
              </w:rPr>
              <w:t xml:space="preserve"> y su autoridad de Aplicación</w:t>
            </w:r>
            <w:r w:rsidR="00601C83">
              <w:rPr>
                <w:b w:val="0"/>
              </w:rPr>
              <w:t>.</w:t>
            </w:r>
          </w:p>
          <w:p w14:paraId="4364BE9D" w14:textId="7FFEC1B9" w:rsidR="00E5675B" w:rsidRPr="00E5675B" w:rsidRDefault="00E5675B" w:rsidP="00E5675B">
            <w:pPr>
              <w:pStyle w:val="Ttulo"/>
              <w:spacing w:after="120"/>
              <w:jc w:val="both"/>
              <w:rPr>
                <w:b w:val="0"/>
              </w:rPr>
            </w:pPr>
            <w:r>
              <w:rPr>
                <w:b w:val="0"/>
              </w:rPr>
              <w:t>-</w:t>
            </w:r>
            <w:r w:rsidR="00601C83">
              <w:rPr>
                <w:b w:val="0"/>
              </w:rPr>
              <w:t xml:space="preserve"> </w:t>
            </w:r>
            <w:r w:rsidRPr="00E5675B">
              <w:rPr>
                <w:b w:val="0"/>
              </w:rPr>
              <w:t xml:space="preserve">Recopilación y análisis de la normativa aplicable. </w:t>
            </w:r>
          </w:p>
          <w:p w14:paraId="0AF1665A" w14:textId="77777777" w:rsidR="00E5675B" w:rsidRPr="00E5675B" w:rsidRDefault="00E5675B" w:rsidP="00E5675B">
            <w:pPr>
              <w:pStyle w:val="Ttulo"/>
              <w:spacing w:after="120"/>
              <w:jc w:val="both"/>
              <w:rPr>
                <w:b w:val="0"/>
              </w:rPr>
            </w:pPr>
            <w:r w:rsidRPr="00E5675B">
              <w:rPr>
                <w:b w:val="0"/>
              </w:rPr>
              <w:t xml:space="preserve">- Solicitud del listado de la nómina de los funcionarios obligados a presentar las Declaraciones Juradas Patrimoniales Integrales (en adelante, DD.JJ.), registros de las DD.JJ. presentadas, recordatorios del vencimiento enviados, número del Boletín Oficial en el que se consigna el listado de las DD.JJ. presentadas y pendientes de presentación e información de cursos de capacitación brindados. </w:t>
            </w:r>
          </w:p>
          <w:p w14:paraId="69F051F3" w14:textId="77777777" w:rsidR="00E5675B" w:rsidRPr="00E5675B" w:rsidRDefault="00E5675B" w:rsidP="00E5675B">
            <w:pPr>
              <w:pStyle w:val="Ttulo"/>
              <w:spacing w:after="120"/>
              <w:jc w:val="both"/>
              <w:rPr>
                <w:b w:val="0"/>
              </w:rPr>
            </w:pPr>
            <w:r w:rsidRPr="00E5675B">
              <w:rPr>
                <w:b w:val="0"/>
              </w:rPr>
              <w:t>- Análisis de la información recibida y cotejo con el organigrama y la normativa vigente.</w:t>
            </w:r>
          </w:p>
          <w:p w14:paraId="4384CD84" w14:textId="2B4874EC" w:rsidR="00E5675B" w:rsidRPr="00E5675B" w:rsidRDefault="00E5675B" w:rsidP="00E5675B">
            <w:pPr>
              <w:pStyle w:val="Ttulo"/>
              <w:spacing w:after="120"/>
              <w:jc w:val="both"/>
              <w:rPr>
                <w:b w:val="0"/>
              </w:rPr>
            </w:pPr>
            <w:r w:rsidRPr="00E5675B">
              <w:rPr>
                <w:b w:val="0"/>
              </w:rPr>
              <w:t>- Control de la efectiva presentación con el a</w:t>
            </w:r>
            <w:r>
              <w:rPr>
                <w:b w:val="0"/>
              </w:rPr>
              <w:t xml:space="preserve">plicativo informático          </w:t>
            </w:r>
            <w:r w:rsidRPr="00E5675B">
              <w:rPr>
                <w:b w:val="0"/>
              </w:rPr>
              <w:t xml:space="preserve">https://mideclaracion.buenosaires.gob.ar. </w:t>
            </w:r>
          </w:p>
          <w:p w14:paraId="14019BE6" w14:textId="58CD0C8E" w:rsidR="0082315D" w:rsidRDefault="00E5675B" w:rsidP="00E5675B">
            <w:pPr>
              <w:pStyle w:val="Ttulo"/>
              <w:spacing w:after="120"/>
              <w:jc w:val="both"/>
              <w:rPr>
                <w:b w:val="0"/>
              </w:rPr>
            </w:pPr>
            <w:r w:rsidRPr="00E5675B">
              <w:rPr>
                <w:b w:val="0"/>
              </w:rPr>
              <w:t>- Relevamiento de la organización interna del área.</w:t>
            </w:r>
          </w:p>
          <w:p w14:paraId="7316EC0F" w14:textId="795BD055"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077E85EA"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3EC0CF0F" w14:textId="77777777" w:rsidR="009C7981" w:rsidRPr="009C7981" w:rsidRDefault="00601C83" w:rsidP="009C7981">
            <w:pPr>
              <w:rPr>
                <w:b/>
              </w:rPr>
            </w:pPr>
            <w:sdt>
              <w:sdtPr>
                <w:alias w:val="observacion"/>
                <w:tag w:val="observacion"/>
                <w:id w:val="20465930"/>
              </w:sdtPr>
              <w:sdtEndPr>
                <w:rPr>
                  <w:b/>
                </w:rPr>
              </w:sdtEndPr>
              <w:sdtContent>
                <w:proofErr w:type="gramStart"/>
                <w:r w:rsidR="009C7981" w:rsidRPr="009C7981">
                  <w:rPr>
                    <w:b/>
                  </w:rPr>
                  <w:t>4.1 .</w:t>
                </w:r>
                <w:proofErr w:type="gramEnd"/>
                <w:r w:rsidR="009C7981" w:rsidRPr="009C7981">
                  <w:rPr>
                    <w:b/>
                  </w:rPr>
                  <w:t xml:space="preserve"> Observación: </w:t>
                </w:r>
              </w:sdtContent>
            </w:sdt>
          </w:p>
          <w:p w14:paraId="68610053" w14:textId="74DC33EC" w:rsidR="009C7981" w:rsidRDefault="009C7981" w:rsidP="009C7981">
            <w:pPr>
              <w:rPr>
                <w:b/>
                <w:lang w:eastAsia="es-ES"/>
              </w:rPr>
            </w:pPr>
            <w:r>
              <w:rPr>
                <w:rFonts w:eastAsia="Arial" w:cs="Arial"/>
              </w:rPr>
              <w:t>Dado que el cumplimiento de la presentación de las Declaraciones Juradas Patrimoniales Integrales corresponde a una obligación personal del funcionario y/o agente alcanzado, no se formularon observaciones al respecto, verificándose además que las acciones implementadas por parte de la Gerencia Operativa de Recursos Humanos, dependiente de la Dirección General Técnico, Administrativa y Legal, del Ministerio de Desarrollo Económico y Producción resultaron suficientes.</w:t>
            </w:r>
          </w:p>
          <w:p w14:paraId="7316EC23" w14:textId="4B9C9EB4" w:rsidR="00F01E84" w:rsidRPr="009C7981" w:rsidRDefault="00601C83" w:rsidP="00956DC8">
            <w:pPr>
              <w:rPr>
                <w:color w:val="000000"/>
                <w:sz w:val="21"/>
                <w:szCs w:val="21"/>
                <w:shd w:val="clear" w:color="auto" w:fill="FFFFFF"/>
              </w:rPr>
            </w:pPr>
            <w:sdt>
              <w:sdtPr>
                <w:rPr>
                  <w:b/>
                  <w:vanish/>
                </w:rPr>
                <w:id w:val="281551988"/>
              </w:sdtPr>
              <w:sdtEndPr/>
              <w:sdtContent>
                <w:r w:rsidR="009C7981">
                  <w:rPr>
                    <w:b/>
                  </w:rPr>
                  <w:t>Riesgo Ponderado:</w:t>
                </w:r>
              </w:sdtContent>
            </w:sdt>
            <w:r w:rsidR="009C7981">
              <w:rPr>
                <w:b/>
              </w:rPr>
              <w:t xml:space="preserve"> </w:t>
            </w:r>
            <w:sdt>
              <w:sdtPr>
                <w:rPr>
                  <w:b/>
                </w:rPr>
                <w:alias w:val="riesgo"/>
                <w:id w:val="-1145663822"/>
                <w:dropDownList>
                  <w:listItem w:displayText="Muy Alto" w:value="Muy Alto"/>
                  <w:listItem w:displayText="Alto" w:value="Alto"/>
                  <w:listItem w:displayText="Medio" w:value="Medio"/>
                  <w:listItem w:displayText="Bajo" w:value="Bajo"/>
                </w:dropDownList>
              </w:sdtPr>
              <w:sdtEndPr/>
              <w:sdtContent>
                <w:r w:rsidR="009C7981">
                  <w:rPr>
                    <w:b/>
                  </w:rPr>
                  <w:t>Bajo</w:t>
                </w:r>
              </w:sdtContent>
            </w:sdt>
          </w:p>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321EF506" w:rsidR="00B00D6C" w:rsidRDefault="00601C83"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B00D6C">
                  <w:t>No emitió opinión.</w:t>
                </w:r>
              </w:sdtContent>
            </w:sdt>
            <w:r w:rsidR="00B00D6C">
              <w:t xml:space="preserve"> </w:t>
            </w:r>
          </w:p>
          <w:p w14:paraId="1E12CC7A" w14:textId="77777777" w:rsidR="00B00D6C" w:rsidRDefault="00B00D6C" w:rsidP="00956DC8">
            <w:pPr>
              <w:rPr>
                <w:b/>
              </w:rPr>
            </w:pPr>
          </w:p>
          <w:p w14:paraId="7316EC27" w14:textId="504698AF"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5D6C1F29" w14:textId="124A2352" w:rsidR="00F55C1D" w:rsidRDefault="00F55C1D" w:rsidP="00F55C1D">
            <w:pPr>
              <w:spacing w:after="120"/>
              <w:rPr>
                <w:rFonts w:eastAsia="Arial" w:cs="Arial"/>
                <w:highlight w:val="yellow"/>
                <w:lang w:eastAsia="es-ES"/>
              </w:rPr>
            </w:pPr>
            <w:r>
              <w:t xml:space="preserve">De las tareas de análisis y verificación del cumplimiento de la presentación de las Declaraciones Juradas Patrimoniales Integrales, según las disposiciones de la Ley Nº 6.357, se desprende que de un total de cincuenta y uno </w:t>
            </w:r>
            <w:r>
              <w:rPr>
                <w:rFonts w:eastAsia="Arial" w:cs="Arial"/>
              </w:rPr>
              <w:t xml:space="preserve">(51) </w:t>
            </w:r>
            <w:r w:rsidR="00601C83">
              <w:rPr>
                <w:rFonts w:eastAsia="Arial" w:cs="Arial"/>
              </w:rPr>
              <w:t xml:space="preserve">puestos que determinan los </w:t>
            </w:r>
            <w:r>
              <w:rPr>
                <w:rFonts w:eastAsia="Arial" w:cs="Arial"/>
              </w:rPr>
              <w:t>sujetos obligados a ello,</w:t>
            </w:r>
            <w:r w:rsidR="00601C83">
              <w:rPr>
                <w:rFonts w:eastAsia="Arial" w:cs="Arial"/>
              </w:rPr>
              <w:t xml:space="preserve"> lo siguiente, Uno </w:t>
            </w:r>
            <w:r>
              <w:rPr>
                <w:rFonts w:eastAsia="Arial" w:cs="Arial"/>
              </w:rPr>
              <w:t>d</w:t>
            </w:r>
            <w:r w:rsidR="00601C83">
              <w:rPr>
                <w:rFonts w:eastAsia="Arial" w:cs="Arial"/>
              </w:rPr>
              <w:t xml:space="preserve">e ellos se </w:t>
            </w:r>
            <w:proofErr w:type="spellStart"/>
            <w:r w:rsidR="00601C83">
              <w:rPr>
                <w:rFonts w:eastAsia="Arial" w:cs="Arial"/>
              </w:rPr>
              <w:t>exceptua</w:t>
            </w:r>
            <w:proofErr w:type="spellEnd"/>
            <w:r>
              <w:rPr>
                <w:rFonts w:eastAsia="Arial" w:cs="Arial"/>
              </w:rPr>
              <w:t xml:space="preserve"> debido a que ocupa otro car</w:t>
            </w:r>
            <w:r w:rsidR="00601C83">
              <w:rPr>
                <w:rFonts w:eastAsia="Arial" w:cs="Arial"/>
              </w:rPr>
              <w:t xml:space="preserve">go obligado, uno por estar el </w:t>
            </w:r>
            <w:proofErr w:type="spellStart"/>
            <w:r w:rsidR="00601C83">
              <w:rPr>
                <w:rFonts w:eastAsia="Arial" w:cs="Arial"/>
              </w:rPr>
              <w:t>area</w:t>
            </w:r>
            <w:proofErr w:type="spellEnd"/>
            <w:r>
              <w:rPr>
                <w:rFonts w:eastAsia="Arial" w:cs="Arial"/>
              </w:rPr>
              <w:t xml:space="preserve"> vacante y dos se encuentran en plazo para realizar la presentación correspondiente. Lo que arroja un total de Cuarenta y siete (47) funcionarios obligados</w:t>
            </w:r>
            <w:r w:rsidR="00601C83">
              <w:rPr>
                <w:rFonts w:eastAsia="Arial" w:cs="Arial"/>
              </w:rPr>
              <w:t>,</w:t>
            </w:r>
            <w:r>
              <w:rPr>
                <w:rFonts w:eastAsia="Arial" w:cs="Arial"/>
              </w:rPr>
              <w:t xml:space="preserve"> de los cuales Treinta y dos (32) realizaron en tiempo dicha presentación, lo cual equivale al 68.08 % de cumplimiento. Antes del vencimiento 30 de junio de 2022. Y Uno (1) la realizo fuera de termino y antes del cierre del presente informe lo cual equivale a un 2.12%, ocasionando un incumplimiento Total de 14 funcionarios obligados, equivalente a 29.78 %.</w:t>
            </w:r>
          </w:p>
          <w:p w14:paraId="17F4628E" w14:textId="77777777" w:rsidR="00F55C1D" w:rsidRDefault="00F55C1D" w:rsidP="00F55C1D">
            <w:pPr>
              <w:spacing w:after="120"/>
              <w:rPr>
                <w:rFonts w:eastAsia="Arial" w:cs="Arial"/>
              </w:rPr>
            </w:pPr>
            <w:r>
              <w:rPr>
                <w:rFonts w:eastAsia="Arial" w:cs="Arial"/>
              </w:rPr>
              <w:t>En consecuencia, se sugiere a la Gerencia Operativa de Recursos Humanos continuar con las acciones llevadas a cabo, tendientes a concientizar a los sujetos obligados acerca de la importancia del cumplimiento de la normativa vigente, de acuerdo a las pautas de comportamiento ético, basados en la honestidad, lealtad, justicia, probidad, rectitud, buena fe, idoneidad, eficacia, responsabilidad, transparencia y austeridad republicana.</w:t>
            </w:r>
          </w:p>
          <w:p w14:paraId="1575A254" w14:textId="77777777" w:rsidR="00F55C1D" w:rsidRDefault="00F55C1D" w:rsidP="00F55C1D">
            <w:pPr>
              <w:spacing w:after="120"/>
              <w:rPr>
                <w:rFonts w:eastAsia="Arial" w:cs="Arial"/>
              </w:rPr>
            </w:pPr>
            <w:r>
              <w:rPr>
                <w:rFonts w:eastAsia="Arial" w:cs="Arial"/>
              </w:rPr>
              <w:t>En este mismo sentido, se recomienda seguir manteniendo los mecanismos aplicados, a los efectos de que la Dirección Técnica, Administrativa y Legal disponga de la información necesaria, en tiempo oportuno, respecto a los incumplimientos de las mencionadas presentaciones para que desde la Autoridad de Aplicación</w:t>
            </w:r>
            <w:r>
              <w:rPr>
                <w:rFonts w:cs="Arial"/>
                <w:bCs/>
                <w:szCs w:val="23"/>
              </w:rPr>
              <w:t xml:space="preserve"> Ley de </w:t>
            </w:r>
            <w:proofErr w:type="spellStart"/>
            <w:r>
              <w:rPr>
                <w:rFonts w:cs="Arial"/>
                <w:bCs/>
                <w:szCs w:val="23"/>
              </w:rPr>
              <w:t>Regimen</w:t>
            </w:r>
            <w:proofErr w:type="spellEnd"/>
            <w:r>
              <w:rPr>
                <w:rFonts w:cs="Arial"/>
                <w:bCs/>
                <w:szCs w:val="23"/>
              </w:rPr>
              <w:t xml:space="preserve"> de Integridad Publica</w:t>
            </w:r>
            <w:r>
              <w:rPr>
                <w:rFonts w:eastAsia="Arial" w:cs="Arial"/>
              </w:rPr>
              <w:t xml:space="preserve"> N° 6.357 se cursen las correspondientes intimaciones con carácter previo a la realización de la Publicación en el Boletín Oficial de la Ciudad Autónoma de Buenos Aires del listado de Declaraciones Juradas presentadas y pendientes de presentación, contribuyendo de esta manera a reducir el volumen de omisiones por parte de los alcanzados.  </w:t>
            </w:r>
          </w:p>
          <w:p w14:paraId="5CE12198" w14:textId="33815913" w:rsidR="00F55C1D" w:rsidRDefault="00F55C1D" w:rsidP="00F55C1D">
            <w:pPr>
              <w:spacing w:after="120"/>
              <w:rPr>
                <w:rFonts w:eastAsia="Arial" w:cs="Arial"/>
              </w:rPr>
            </w:pPr>
            <w:r>
              <w:rPr>
                <w:rFonts w:eastAsia="Arial" w:cs="Arial"/>
              </w:rPr>
              <w:t xml:space="preserve">Finalmente, Se agradece la predisposición y la colaboración brindada tanto por la Gerencia Operativa de Recursos Humanos de la Dirección General Técnico, Administrativa y Legal, así como por la “Autoridad de Aplicación </w:t>
            </w:r>
            <w:r>
              <w:rPr>
                <w:rFonts w:cs="Arial"/>
                <w:bCs/>
                <w:szCs w:val="23"/>
              </w:rPr>
              <w:t>Ley de Régimen de Integridad Publica</w:t>
            </w:r>
            <w:r>
              <w:rPr>
                <w:rFonts w:eastAsia="Arial" w:cs="Arial"/>
              </w:rPr>
              <w:t xml:space="preserve"> N° 6.357”, facilitando con sus aportes y cooperación las tareas de auditoría que han dado soporte al presente informe.</w:t>
            </w:r>
          </w:p>
          <w:p w14:paraId="60D97FE4" w14:textId="77777777" w:rsidR="00B00D6C" w:rsidRDefault="00B00D6C" w:rsidP="00956DC8">
            <w:pPr>
              <w:rPr>
                <w:shd w:val="clear" w:color="auto" w:fill="FFFFFF"/>
              </w:rPr>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bookmarkStart w:id="0" w:name="_GoBack"/>
      <w:bookmarkEnd w:id="0"/>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9A63F"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59B67"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AE875"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BA5126"/>
    <w:multiLevelType w:val="multilevel"/>
    <w:tmpl w:val="2E50FB94"/>
    <w:numStyleLink w:val="111111"/>
  </w:abstractNum>
  <w:abstractNum w:abstractNumId="17"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3"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8"/>
  </w:num>
  <w:num w:numId="3">
    <w:abstractNumId w:val="10"/>
  </w:num>
  <w:num w:numId="4">
    <w:abstractNumId w:val="27"/>
  </w:num>
  <w:num w:numId="5">
    <w:abstractNumId w:val="28"/>
  </w:num>
  <w:num w:numId="6">
    <w:abstractNumId w:val="12"/>
  </w:num>
  <w:num w:numId="7">
    <w:abstractNumId w:val="23"/>
  </w:num>
  <w:num w:numId="8">
    <w:abstractNumId w:val="2"/>
  </w:num>
  <w:num w:numId="9">
    <w:abstractNumId w:val="15"/>
  </w:num>
  <w:num w:numId="10">
    <w:abstractNumId w:val="5"/>
  </w:num>
  <w:num w:numId="11">
    <w:abstractNumId w:val="19"/>
  </w:num>
  <w:num w:numId="12">
    <w:abstractNumId w:val="6"/>
  </w:num>
  <w:num w:numId="13">
    <w:abstractNumId w:val="18"/>
  </w:num>
  <w:num w:numId="14">
    <w:abstractNumId w:val="25"/>
  </w:num>
  <w:num w:numId="15">
    <w:abstractNumId w:val="24"/>
  </w:num>
  <w:num w:numId="16">
    <w:abstractNumId w:val="20"/>
  </w:num>
  <w:num w:numId="17">
    <w:abstractNumId w:val="21"/>
  </w:num>
  <w:num w:numId="18">
    <w:abstractNumId w:val="29"/>
  </w:num>
  <w:num w:numId="19">
    <w:abstractNumId w:val="4"/>
  </w:num>
  <w:num w:numId="20">
    <w:abstractNumId w:val="14"/>
  </w:num>
  <w:num w:numId="21">
    <w:abstractNumId w:val="26"/>
  </w:num>
  <w:num w:numId="22">
    <w:abstractNumId w:val="1"/>
  </w:num>
  <w:num w:numId="23">
    <w:abstractNumId w:val="17"/>
  </w:num>
  <w:num w:numId="24">
    <w:abstractNumId w:val="3"/>
  </w:num>
  <w:num w:numId="25">
    <w:abstractNumId w:val="30"/>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1"/>
  </w:num>
  <w:num w:numId="30">
    <w:abstractNumId w:val="13"/>
  </w:num>
  <w:num w:numId="31">
    <w:abstractNumId w:val="1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440"/>
          </w:tabs>
          <w:ind w:left="794" w:hanging="437"/>
        </w:pPr>
      </w:lvl>
    </w:lvlOverride>
    <w:lvlOverride w:ilvl="3">
      <w:lvl w:ilvl="3">
        <w:start w:val="1"/>
        <w:numFmt w:val="decimal"/>
        <w:lvlText w:val="%1.%2.%3.%4."/>
        <w:lvlJc w:val="left"/>
        <w:pPr>
          <w:tabs>
            <w:tab w:val="num" w:pos="2160"/>
          </w:tabs>
          <w:ind w:left="794" w:hanging="437"/>
        </w:pPr>
      </w:lvl>
    </w:lvlOverride>
    <w:lvlOverride w:ilvl="4">
      <w:lvl w:ilvl="4">
        <w:start w:val="1"/>
        <w:numFmt w:val="decimal"/>
        <w:lvlText w:val="%1.%2.%3.%4.%5."/>
        <w:lvlJc w:val="left"/>
        <w:pPr>
          <w:tabs>
            <w:tab w:val="num" w:pos="2520"/>
          </w:tabs>
          <w:ind w:left="794" w:hanging="437"/>
        </w:pPr>
      </w:lvl>
    </w:lvlOverride>
    <w:lvlOverride w:ilvl="5">
      <w:lvl w:ilvl="5">
        <w:start w:val="1"/>
        <w:numFmt w:val="decimal"/>
        <w:lvlText w:val="%1.%2.%3.%4.%5.%6."/>
        <w:lvlJc w:val="left"/>
        <w:pPr>
          <w:tabs>
            <w:tab w:val="num" w:pos="3240"/>
          </w:tabs>
          <w:ind w:left="794" w:hanging="437"/>
        </w:pPr>
      </w:lvl>
    </w:lvlOverride>
    <w:lvlOverride w:ilvl="6">
      <w:lvl w:ilvl="6">
        <w:start w:val="1"/>
        <w:numFmt w:val="decimal"/>
        <w:lvlText w:val="%1.%2.%3.%4.%5.%6.%7."/>
        <w:lvlJc w:val="left"/>
        <w:pPr>
          <w:tabs>
            <w:tab w:val="num" w:pos="3600"/>
          </w:tabs>
          <w:ind w:left="794" w:hanging="437"/>
        </w:pPr>
      </w:lvl>
    </w:lvlOverride>
    <w:lvlOverride w:ilvl="7">
      <w:lvl w:ilvl="7">
        <w:start w:val="1"/>
        <w:numFmt w:val="decimal"/>
        <w:lvlText w:val="%1.%2.%3.%4.%5.%6.%7.%8."/>
        <w:lvlJc w:val="left"/>
        <w:pPr>
          <w:tabs>
            <w:tab w:val="num" w:pos="4320"/>
          </w:tabs>
          <w:ind w:left="794" w:hanging="437"/>
        </w:pPr>
      </w:lvl>
    </w:lvlOverride>
    <w:lvlOverride w:ilvl="8">
      <w:lvl w:ilvl="8">
        <w:start w:val="1"/>
        <w:numFmt w:val="decimal"/>
        <w:lvlText w:val="%1.%2.%3.%4.%5.%6.%7.%8.%9."/>
        <w:lvlJc w:val="left"/>
        <w:pPr>
          <w:tabs>
            <w:tab w:val="num" w:pos="4680"/>
          </w:tabs>
          <w:ind w:left="794" w:hanging="437"/>
        </w:pPr>
      </w:lvl>
    </w:lvlOverride>
  </w:num>
  <w:num w:numId="3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1C83"/>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15D"/>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94F"/>
    <w:rsid w:val="00997D8F"/>
    <w:rsid w:val="009A3E4F"/>
    <w:rsid w:val="009A418A"/>
    <w:rsid w:val="009A4267"/>
    <w:rsid w:val="009A551B"/>
    <w:rsid w:val="009A7E86"/>
    <w:rsid w:val="009B0598"/>
    <w:rsid w:val="009B0BFD"/>
    <w:rsid w:val="009B2594"/>
    <w:rsid w:val="009C1BDE"/>
    <w:rsid w:val="009C5FDA"/>
    <w:rsid w:val="009C7981"/>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5675B"/>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55C1D"/>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styleId="Ttulo">
    <w:name w:val="Title"/>
    <w:basedOn w:val="Normal"/>
    <w:link w:val="TtuloCar"/>
    <w:uiPriority w:val="10"/>
    <w:qFormat/>
    <w:locked/>
    <w:rsid w:val="0082315D"/>
    <w:pPr>
      <w:jc w:val="center"/>
    </w:pPr>
    <w:rPr>
      <w:rFonts w:eastAsia="Times New Roman"/>
      <w:b/>
      <w:szCs w:val="20"/>
      <w:lang w:val="es-AR" w:eastAsia="es-ES"/>
    </w:rPr>
  </w:style>
  <w:style w:type="character" w:customStyle="1" w:styleId="TtuloCar">
    <w:name w:val="Título Car"/>
    <w:basedOn w:val="Fuentedeprrafopredeter"/>
    <w:link w:val="Ttulo"/>
    <w:uiPriority w:val="10"/>
    <w:rsid w:val="0082315D"/>
    <w:rPr>
      <w:rFonts w:eastAsia="Times New Roman" w:cs="Times New Roman"/>
      <w:b/>
      <w:szCs w:val="20"/>
      <w:lang w:val="es-AR"/>
    </w:rPr>
  </w:style>
  <w:style w:type="numbering" w:styleId="111111">
    <w:name w:val="Outline List 2"/>
    <w:basedOn w:val="Sinlista"/>
    <w:semiHidden/>
    <w:unhideWhenUsed/>
    <w:rsid w:val="0082315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4186">
      <w:bodyDiv w:val="1"/>
      <w:marLeft w:val="0"/>
      <w:marRight w:val="0"/>
      <w:marTop w:val="0"/>
      <w:marBottom w:val="0"/>
      <w:divBdr>
        <w:top w:val="none" w:sz="0" w:space="0" w:color="auto"/>
        <w:left w:val="none" w:sz="0" w:space="0" w:color="auto"/>
        <w:bottom w:val="none" w:sz="0" w:space="0" w:color="auto"/>
        <w:right w:val="none" w:sz="0" w:space="0" w:color="auto"/>
      </w:divBdr>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9753">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77551">
      <w:bodyDiv w:val="1"/>
      <w:marLeft w:val="0"/>
      <w:marRight w:val="0"/>
      <w:marTop w:val="0"/>
      <w:marBottom w:val="0"/>
      <w:divBdr>
        <w:top w:val="none" w:sz="0" w:space="0" w:color="auto"/>
        <w:left w:val="none" w:sz="0" w:space="0" w:color="auto"/>
        <w:bottom w:val="none" w:sz="0" w:space="0" w:color="auto"/>
        <w:right w:val="none" w:sz="0" w:space="0" w:color="auto"/>
      </w:divBdr>
    </w:div>
    <w:div w:id="1805464412">
      <w:bodyDiv w:val="1"/>
      <w:marLeft w:val="0"/>
      <w:marRight w:val="0"/>
      <w:marTop w:val="0"/>
      <w:marBottom w:val="0"/>
      <w:divBdr>
        <w:top w:val="none" w:sz="0" w:space="0" w:color="auto"/>
        <w:left w:val="none" w:sz="0" w:space="0" w:color="auto"/>
        <w:bottom w:val="none" w:sz="0" w:space="0" w:color="auto"/>
        <w:right w:val="none" w:sz="0" w:space="0" w:color="auto"/>
      </w:divBdr>
    </w:div>
    <w:div w:id="19689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36BA67-A421-4633-90A2-F893CCBC6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48F00A-21A9-4E52-9125-2B1BD335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PATRICIO EZEQUIEL JACCOUD GIRART</cp:lastModifiedBy>
  <cp:revision>34</cp:revision>
  <cp:lastPrinted>2017-07-25T19:06:00Z</cp:lastPrinted>
  <dcterms:created xsi:type="dcterms:W3CDTF">2017-08-14T17:04:00Z</dcterms:created>
  <dcterms:modified xsi:type="dcterms:W3CDTF">2022-08-08T17:46:00Z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